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2D604" w14:textId="5E1898A1" w:rsidR="00416E4A" w:rsidRPr="00416E4A" w:rsidRDefault="00416E4A" w:rsidP="00416E4A">
      <w:pPr>
        <w:pStyle w:val="3GPPHeader"/>
        <w:rPr>
          <w:lang w:val="en-US"/>
        </w:rPr>
      </w:pPr>
      <w:r w:rsidRPr="00416E4A">
        <w:rPr>
          <w:lang w:val="en-US"/>
        </w:rPr>
        <w:t>3GPP TSG-RAN WG2 Meeting #112 electronic</w:t>
      </w:r>
      <w:r w:rsidRPr="00416E4A">
        <w:rPr>
          <w:lang w:val="en-US"/>
        </w:rPr>
        <w:tab/>
      </w:r>
      <w:bookmarkStart w:id="0" w:name="_GoBack"/>
      <w:r w:rsidR="00EB1562" w:rsidRPr="00EB1562">
        <w:rPr>
          <w:lang w:val="en-US"/>
        </w:rPr>
        <w:t>R2-2009823</w:t>
      </w:r>
      <w:bookmarkEnd w:id="0"/>
    </w:p>
    <w:p w14:paraId="2E745AE3" w14:textId="256D06F8" w:rsidR="00E90E49" w:rsidRDefault="00416E4A" w:rsidP="00416E4A">
      <w:pPr>
        <w:pStyle w:val="3GPPHeader"/>
        <w:rPr>
          <w:lang w:val="en-US"/>
        </w:rPr>
      </w:pPr>
      <w:r w:rsidRPr="00416E4A">
        <w:rPr>
          <w:lang w:val="en-US"/>
        </w:rPr>
        <w:t xml:space="preserve">Online, </w:t>
      </w:r>
      <w:r w:rsidR="00377C92">
        <w:rPr>
          <w:lang w:val="en-US"/>
        </w:rPr>
        <w:t>2</w:t>
      </w:r>
      <w:r w:rsidR="00377C92" w:rsidRPr="00377C92">
        <w:rPr>
          <w:vertAlign w:val="superscript"/>
          <w:lang w:val="en-US"/>
        </w:rPr>
        <w:t>nd</w:t>
      </w:r>
      <w:r w:rsidR="00377C92">
        <w:rPr>
          <w:lang w:val="en-US"/>
        </w:rPr>
        <w:t>-1</w:t>
      </w:r>
      <w:r w:rsidR="00960F69">
        <w:rPr>
          <w:lang w:val="en-US"/>
        </w:rPr>
        <w:t>3</w:t>
      </w:r>
      <w:r w:rsidR="00960F69" w:rsidRPr="00960F69">
        <w:rPr>
          <w:vertAlign w:val="superscript"/>
          <w:lang w:val="en-US"/>
        </w:rPr>
        <w:t>th</w:t>
      </w:r>
      <w:r w:rsidR="00960F69">
        <w:rPr>
          <w:lang w:val="en-US"/>
        </w:rPr>
        <w:t xml:space="preserve"> </w:t>
      </w:r>
      <w:proofErr w:type="gramStart"/>
      <w:r w:rsidRPr="00416E4A">
        <w:rPr>
          <w:lang w:val="en-US"/>
        </w:rPr>
        <w:t>November,</w:t>
      </w:r>
      <w:proofErr w:type="gramEnd"/>
      <w:r w:rsidRPr="00416E4A">
        <w:rPr>
          <w:lang w:val="en-US"/>
        </w:rPr>
        <w:t xml:space="preserve"> 2020</w:t>
      </w:r>
    </w:p>
    <w:p w14:paraId="7A3A5CFA" w14:textId="77777777" w:rsidR="001E5FD2" w:rsidRPr="0075572D" w:rsidRDefault="001E5FD2" w:rsidP="00416E4A">
      <w:pPr>
        <w:pStyle w:val="3GPPHeader"/>
        <w:rPr>
          <w:lang w:val="en-US"/>
        </w:rPr>
      </w:pPr>
    </w:p>
    <w:p w14:paraId="40CF7388" w14:textId="4C424EAF"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220E4" w:rsidRPr="0075572D">
        <w:rPr>
          <w:sz w:val="22"/>
          <w:lang w:val="en-US"/>
        </w:rPr>
        <w:t>3</w:t>
      </w:r>
      <w:r w:rsidR="00561A8D">
        <w:rPr>
          <w:sz w:val="22"/>
          <w:lang w:val="en-US"/>
        </w:rPr>
        <w:t>.</w:t>
      </w:r>
      <w:r w:rsidR="007329F5">
        <w:rPr>
          <w:sz w:val="22"/>
          <w:lang w:val="en-US"/>
        </w:rPr>
        <w:t>1</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31885EF1"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9C5425">
        <w:rPr>
          <w:sz w:val="22"/>
          <w:lang w:val="en-US"/>
        </w:rPr>
        <w:t xml:space="preserve">Aspects for Earth fixed and Earth moving beams </w:t>
      </w:r>
      <w:r w:rsidR="0075572D">
        <w:rPr>
          <w:sz w:val="22"/>
          <w:lang w:val="en-US"/>
        </w:rPr>
        <w:t>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additional assistance information for cell selection/reselection (e.g. using UE location information, satellite Ephemeris information)</w:t>
      </w:r>
    </w:p>
    <w:p w14:paraId="2195A8FE"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 xml:space="preserve">Enhancement necessary to </w:t>
      </w:r>
      <w:proofErr w:type="gramStart"/>
      <w:r w:rsidRPr="000D1F6D">
        <w:rPr>
          <w:rFonts w:ascii="Times New Roman" w:eastAsia="Calibri" w:hAnsi="Times New Roman" w:cs="Calibri"/>
          <w:sz w:val="20"/>
          <w:szCs w:val="20"/>
          <w:lang w:val="en-US"/>
        </w:rPr>
        <w:t>take into account</w:t>
      </w:r>
      <w:proofErr w:type="gramEnd"/>
      <w:r w:rsidRPr="000D1F6D">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069EFB24" w14:textId="5E4065E2" w:rsidR="00CF2712" w:rsidRPr="000D1F6D" w:rsidRDefault="00CF2712" w:rsidP="00CE0424">
      <w:pPr>
        <w:pStyle w:val="BodyText"/>
        <w:rPr>
          <w:lang w:val="en-US"/>
        </w:rPr>
      </w:pPr>
    </w:p>
    <w:p w14:paraId="67918ABB" w14:textId="4035FDF3" w:rsidR="00E711FF" w:rsidRPr="000D1F6D" w:rsidRDefault="00E711FF" w:rsidP="00CE0424">
      <w:pPr>
        <w:pStyle w:val="BodyText"/>
        <w:rPr>
          <w:lang w:val="en-US"/>
        </w:rPr>
      </w:pPr>
      <w:r w:rsidRPr="000D1F6D">
        <w:rPr>
          <w:lang w:val="en-US"/>
        </w:rPr>
        <w:t xml:space="preserve">In this contribution, we provide our view on </w:t>
      </w:r>
      <w:r w:rsidR="00D3369E">
        <w:rPr>
          <w:lang w:val="en-US"/>
        </w:rPr>
        <w:t>Idle mode aspects for NTN.</w:t>
      </w:r>
    </w:p>
    <w:p w14:paraId="7C9A146D" w14:textId="50AA9E7D" w:rsidR="001A14BF" w:rsidRDefault="00230D18" w:rsidP="0086218C">
      <w:pPr>
        <w:pStyle w:val="Heading1"/>
        <w:rPr>
          <w:lang w:val="en-US"/>
        </w:rPr>
      </w:pPr>
      <w:bookmarkStart w:id="1" w:name="_Ref178064866"/>
      <w:r w:rsidRPr="00A4369A">
        <w:rPr>
          <w:lang w:val="en-US"/>
        </w:rPr>
        <w:t>2</w:t>
      </w:r>
      <w:r w:rsidR="009879EF">
        <w:rPr>
          <w:lang w:val="en-US"/>
        </w:rPr>
        <w:t xml:space="preserve"> Solutions specific to soft feeder link switch and service link switch for Earth fixed beams</w:t>
      </w:r>
    </w:p>
    <w:p w14:paraId="74AE88F5" w14:textId="672D26FF" w:rsidR="002C75AD" w:rsidRDefault="002C75AD" w:rsidP="002C75AD">
      <w:pPr>
        <w:spacing w:before="240"/>
        <w:jc w:val="both"/>
        <w:rPr>
          <w:rFonts w:ascii="Arial" w:eastAsia="Malgun Gothic" w:hAnsi="Arial" w:cs="Arial"/>
          <w:lang w:val="en-US" w:eastAsia="zh-CN"/>
        </w:rPr>
      </w:pPr>
      <w:r>
        <w:rPr>
          <w:rFonts w:ascii="Arial" w:eastAsia="Malgun Gothic" w:hAnsi="Arial" w:cs="Arial"/>
          <w:lang w:val="en-US" w:eastAsia="zh-CN"/>
        </w:rPr>
        <w:t>In the email discussions [910] and [911] the following</w:t>
      </w:r>
      <w:r w:rsidR="00F441D4">
        <w:rPr>
          <w:rFonts w:ascii="Arial" w:eastAsia="Malgun Gothic" w:hAnsi="Arial" w:cs="Arial"/>
          <w:lang w:val="en-US" w:eastAsia="zh-CN"/>
        </w:rPr>
        <w:t xml:space="preserve"> scenarios were categorized for NTN</w:t>
      </w:r>
      <w:r>
        <w:rPr>
          <w:rFonts w:ascii="Arial" w:eastAsia="Malgun Gothic" w:hAnsi="Arial" w:cs="Arial" w:hint="eastAsia"/>
          <w:lang w:val="en-US" w:eastAsia="zh-CN"/>
        </w:rPr>
        <w:t>:</w:t>
      </w:r>
    </w:p>
    <w:p w14:paraId="66C92400" w14:textId="77777777" w:rsidR="002C75AD" w:rsidRDefault="002C75AD" w:rsidP="002C75AD">
      <w:pPr>
        <w:numPr>
          <w:ilvl w:val="0"/>
          <w:numId w:val="44"/>
        </w:numPr>
        <w:overflowPunct w:val="0"/>
        <w:autoSpaceDE w:val="0"/>
        <w:autoSpaceDN w:val="0"/>
        <w:adjustRightInd w:val="0"/>
        <w:spacing w:before="240" w:after="180" w:line="240" w:lineRule="auto"/>
        <w:jc w:val="both"/>
        <w:textAlignment w:val="baseline"/>
        <w:rPr>
          <w:rFonts w:ascii="Arial" w:eastAsia="Malgun Gothic" w:hAnsi="Arial" w:cs="Arial"/>
          <w:lang w:val="en-US" w:eastAsia="zh-CN"/>
        </w:rPr>
      </w:pPr>
      <w:r>
        <w:rPr>
          <w:rFonts w:ascii="Arial" w:eastAsia="Malgun Gothic" w:hAnsi="Arial" w:cs="Arial"/>
          <w:lang w:val="en-US" w:eastAsia="zh-CN"/>
        </w:rPr>
        <w:t xml:space="preserve">Scenario 1: </w:t>
      </w:r>
      <w:r>
        <w:rPr>
          <w:rFonts w:ascii="Arial" w:eastAsia="Malgun Gothic" w:hAnsi="Arial" w:cs="Arial" w:hint="eastAsia"/>
          <w:lang w:val="en-US" w:eastAsia="zh-CN"/>
        </w:rPr>
        <w:t>F</w:t>
      </w:r>
      <w:r>
        <w:rPr>
          <w:rFonts w:ascii="Arial" w:eastAsia="Malgun Gothic" w:hAnsi="Arial" w:cs="Arial"/>
          <w:lang w:val="en-US" w:eastAsia="zh-CN"/>
        </w:rPr>
        <w:t>eeder link switch</w:t>
      </w:r>
      <w:r>
        <w:rPr>
          <w:rFonts w:ascii="Arial" w:eastAsia="Malgun Gothic" w:hAnsi="Arial" w:cs="Arial" w:hint="eastAsia"/>
          <w:lang w:val="en-US" w:eastAsia="zh-CN"/>
        </w:rPr>
        <w:t xml:space="preserve"> for earth fixed beam</w:t>
      </w:r>
      <w:r>
        <w:rPr>
          <w:rFonts w:ascii="Arial" w:eastAsia="Malgun Gothic" w:hAnsi="Arial" w:cs="Arial"/>
          <w:lang w:val="en-US" w:eastAsia="zh-CN"/>
        </w:rPr>
        <w:t>,</w:t>
      </w:r>
      <w:r>
        <w:rPr>
          <w:rFonts w:ascii="Arial" w:eastAsia="Malgun Gothic" w:hAnsi="Arial" w:cs="Arial" w:hint="eastAsia"/>
          <w:lang w:val="en-US" w:eastAsia="zh-CN"/>
        </w:rPr>
        <w:t xml:space="preserve"> with/without service link switch due to satellite switch</w:t>
      </w:r>
    </w:p>
    <w:p w14:paraId="4D76FDB9" w14:textId="77777777" w:rsidR="002C75AD" w:rsidRDefault="002C75AD" w:rsidP="002C75AD">
      <w:pPr>
        <w:numPr>
          <w:ilvl w:val="0"/>
          <w:numId w:val="44"/>
        </w:numPr>
        <w:overflowPunct w:val="0"/>
        <w:autoSpaceDE w:val="0"/>
        <w:autoSpaceDN w:val="0"/>
        <w:adjustRightInd w:val="0"/>
        <w:spacing w:before="240" w:after="180" w:line="240" w:lineRule="auto"/>
        <w:jc w:val="both"/>
        <w:textAlignment w:val="baseline"/>
        <w:rPr>
          <w:rFonts w:ascii="Arial" w:eastAsia="Malgun Gothic" w:hAnsi="Arial" w:cs="Arial"/>
          <w:lang w:val="en-US" w:eastAsia="zh-CN"/>
        </w:rPr>
      </w:pPr>
      <w:r>
        <w:rPr>
          <w:rFonts w:ascii="Arial" w:eastAsia="Malgun Gothic" w:hAnsi="Arial" w:cs="Arial" w:hint="eastAsia"/>
          <w:lang w:val="en-US" w:eastAsia="zh-CN"/>
        </w:rPr>
        <w:lastRenderedPageBreak/>
        <w:t>Scenario 2: Feeder link switch for earth moving beam</w:t>
      </w:r>
      <w:r>
        <w:rPr>
          <w:rFonts w:ascii="Arial" w:eastAsia="Malgun Gothic" w:hAnsi="Arial" w:cs="Arial"/>
          <w:lang w:val="en-US" w:eastAsia="zh-CN"/>
        </w:rPr>
        <w:t>,</w:t>
      </w:r>
      <w:r>
        <w:rPr>
          <w:rFonts w:ascii="Arial" w:eastAsia="Malgun Gothic" w:hAnsi="Arial" w:cs="Arial" w:hint="eastAsia"/>
          <w:lang w:val="en-US" w:eastAsia="zh-CN"/>
        </w:rPr>
        <w:t xml:space="preserve"> with/without service link switch due to satellite switch</w:t>
      </w:r>
    </w:p>
    <w:p w14:paraId="68F0875C" w14:textId="77777777" w:rsidR="002C75AD" w:rsidRDefault="002C75AD" w:rsidP="002C75AD">
      <w:pPr>
        <w:numPr>
          <w:ilvl w:val="0"/>
          <w:numId w:val="44"/>
        </w:numPr>
        <w:overflowPunct w:val="0"/>
        <w:autoSpaceDE w:val="0"/>
        <w:autoSpaceDN w:val="0"/>
        <w:adjustRightInd w:val="0"/>
        <w:spacing w:before="240" w:after="180" w:line="240" w:lineRule="auto"/>
        <w:jc w:val="both"/>
        <w:textAlignment w:val="baseline"/>
        <w:rPr>
          <w:rFonts w:ascii="Arial" w:eastAsia="Malgun Gothic" w:hAnsi="Arial" w:cs="Arial"/>
          <w:lang w:val="en-US" w:eastAsia="zh-CN"/>
        </w:rPr>
      </w:pPr>
      <w:r>
        <w:rPr>
          <w:rFonts w:ascii="Arial" w:eastAsia="Malgun Gothic" w:hAnsi="Arial" w:cs="Arial" w:hint="eastAsia"/>
          <w:lang w:val="en-US" w:eastAsia="zh-CN"/>
        </w:rPr>
        <w:t>Scenario 3: Service link switch for earth fixed beam due to satellite switch</w:t>
      </w:r>
    </w:p>
    <w:p w14:paraId="6E85B680" w14:textId="77777777" w:rsidR="002C75AD" w:rsidRDefault="002C75AD" w:rsidP="002C75AD">
      <w:pPr>
        <w:numPr>
          <w:ilvl w:val="0"/>
          <w:numId w:val="44"/>
        </w:numPr>
        <w:overflowPunct w:val="0"/>
        <w:autoSpaceDE w:val="0"/>
        <w:autoSpaceDN w:val="0"/>
        <w:adjustRightInd w:val="0"/>
        <w:spacing w:before="240" w:after="180" w:line="240" w:lineRule="auto"/>
        <w:jc w:val="both"/>
        <w:textAlignment w:val="baseline"/>
        <w:rPr>
          <w:rFonts w:ascii="Arial" w:eastAsia="Malgun Gothic" w:hAnsi="Arial" w:cs="Arial"/>
          <w:lang w:val="en-US" w:eastAsia="zh-CN"/>
        </w:rPr>
      </w:pPr>
      <w:r>
        <w:rPr>
          <w:rFonts w:ascii="Arial" w:eastAsia="Malgun Gothic" w:hAnsi="Arial" w:cs="Arial" w:hint="eastAsia"/>
          <w:lang w:val="en-US" w:eastAsia="zh-CN"/>
        </w:rPr>
        <w:t>Scenario 4: Connected</w:t>
      </w:r>
      <w:r>
        <w:rPr>
          <w:rFonts w:ascii="Arial" w:eastAsia="Malgun Gothic" w:hAnsi="Arial" w:cs="Arial"/>
          <w:lang w:val="en-US" w:eastAsia="zh-CN"/>
        </w:rPr>
        <w:t xml:space="preserve"> mode</w:t>
      </w:r>
      <w:r>
        <w:rPr>
          <w:rFonts w:ascii="Arial" w:eastAsia="Malgun Gothic" w:hAnsi="Arial" w:cs="Arial" w:hint="eastAsia"/>
          <w:lang w:val="en-US" w:eastAsia="zh-CN"/>
        </w:rPr>
        <w:t xml:space="preserve"> </w:t>
      </w:r>
      <w:r>
        <w:rPr>
          <w:rFonts w:ascii="Arial" w:eastAsia="Malgun Gothic" w:hAnsi="Arial" w:cs="Arial"/>
          <w:lang w:val="en-US" w:eastAsia="zh-CN"/>
        </w:rPr>
        <w:t>mobility</w:t>
      </w:r>
      <w:r>
        <w:rPr>
          <w:rFonts w:ascii="Arial" w:eastAsia="Malgun Gothic" w:hAnsi="Arial" w:cs="Arial" w:hint="eastAsia"/>
          <w:lang w:val="en-US" w:eastAsia="zh-CN"/>
        </w:rPr>
        <w:t xml:space="preserve"> for earth moving beam </w:t>
      </w:r>
      <w:r>
        <w:rPr>
          <w:rFonts w:ascii="Arial" w:eastAsia="Malgun Gothic" w:hAnsi="Arial" w:cs="Arial"/>
          <w:lang w:val="en-US" w:eastAsia="zh-CN"/>
        </w:rPr>
        <w:t>when the beam no longer serves the UE</w:t>
      </w:r>
    </w:p>
    <w:p w14:paraId="1AB743CA" w14:textId="77777777" w:rsidR="002C75AD" w:rsidRDefault="002C75AD" w:rsidP="002C75AD">
      <w:pPr>
        <w:numPr>
          <w:ilvl w:val="0"/>
          <w:numId w:val="44"/>
        </w:numPr>
        <w:overflowPunct w:val="0"/>
        <w:autoSpaceDE w:val="0"/>
        <w:autoSpaceDN w:val="0"/>
        <w:adjustRightInd w:val="0"/>
        <w:spacing w:before="240" w:after="180" w:line="240" w:lineRule="auto"/>
        <w:jc w:val="both"/>
        <w:textAlignment w:val="baseline"/>
        <w:rPr>
          <w:rFonts w:ascii="Arial" w:eastAsia="Malgun Gothic" w:hAnsi="Arial" w:cs="Arial"/>
          <w:lang w:val="en-US" w:eastAsia="zh-CN"/>
        </w:rPr>
      </w:pPr>
      <w:r>
        <w:rPr>
          <w:rFonts w:ascii="Arial" w:eastAsia="Malgun Gothic" w:hAnsi="Arial" w:cs="Arial" w:hint="eastAsia"/>
          <w:lang w:val="en-US" w:eastAsia="zh-CN"/>
        </w:rPr>
        <w:t xml:space="preserve">Scenario 5: </w:t>
      </w:r>
      <w:r>
        <w:rPr>
          <w:rFonts w:ascii="Arial" w:eastAsia="Malgun Gothic" w:hAnsi="Arial" w:cs="Arial"/>
          <w:lang w:val="en-US" w:eastAsia="zh-CN"/>
        </w:rPr>
        <w:t>Connected mode mobility</w:t>
      </w:r>
      <w:r>
        <w:rPr>
          <w:rFonts w:ascii="Arial" w:eastAsia="Malgun Gothic" w:hAnsi="Arial" w:cs="Arial" w:hint="eastAsia"/>
          <w:lang w:val="en-US" w:eastAsia="zh-CN"/>
        </w:rPr>
        <w:t xml:space="preserve"> for both earth moving and earth fixed beam due to UE movement</w:t>
      </w:r>
    </w:p>
    <w:p w14:paraId="16812D2B" w14:textId="77777777" w:rsidR="002C75AD" w:rsidRPr="00437C69" w:rsidRDefault="002C75AD" w:rsidP="002B0CD6">
      <w:pPr>
        <w:spacing w:before="240"/>
        <w:jc w:val="both"/>
        <w:rPr>
          <w:rFonts w:ascii="Arial" w:eastAsia="Malgun Gothic" w:hAnsi="Arial" w:cs="Arial"/>
          <w:lang w:val="en-US" w:eastAsia="zh-CN"/>
        </w:rPr>
      </w:pPr>
    </w:p>
    <w:p w14:paraId="702E92A5" w14:textId="1AD2728C" w:rsidR="00A7447A" w:rsidRPr="00437C69" w:rsidRDefault="00FF1C06" w:rsidP="002B0CD6">
      <w:pPr>
        <w:spacing w:before="240"/>
        <w:jc w:val="both"/>
        <w:rPr>
          <w:rFonts w:ascii="Arial" w:eastAsia="Malgun Gothic" w:hAnsi="Arial" w:cs="Arial"/>
          <w:lang w:val="en-US" w:eastAsia="zh-CN"/>
        </w:rPr>
      </w:pPr>
      <w:r w:rsidRPr="00437C69">
        <w:rPr>
          <w:rFonts w:ascii="Arial" w:eastAsia="Malgun Gothic" w:hAnsi="Arial" w:cs="Arial"/>
          <w:lang w:val="en-US" w:eastAsia="zh-CN"/>
        </w:rPr>
        <w:t>I</w:t>
      </w:r>
      <w:r w:rsidR="00EE6D7A" w:rsidRPr="00437C69">
        <w:rPr>
          <w:rFonts w:ascii="Arial" w:eastAsia="Malgun Gothic" w:hAnsi="Arial" w:cs="Arial"/>
          <w:lang w:val="en-US" w:eastAsia="zh-CN"/>
        </w:rPr>
        <w:t>n</w:t>
      </w:r>
      <w:r w:rsidRPr="00437C69">
        <w:rPr>
          <w:rFonts w:ascii="Arial" w:eastAsia="Malgun Gothic" w:hAnsi="Arial" w:cs="Arial"/>
          <w:lang w:val="en-US" w:eastAsia="zh-CN"/>
        </w:rPr>
        <w:t xml:space="preserve"> the email discussion </w:t>
      </w:r>
      <w:r w:rsidR="00EE6D7A" w:rsidRPr="00437C69">
        <w:rPr>
          <w:rFonts w:ascii="Arial" w:eastAsia="Malgun Gothic" w:hAnsi="Arial" w:cs="Arial"/>
          <w:lang w:val="en-US" w:eastAsia="zh-CN"/>
        </w:rPr>
        <w:t xml:space="preserve">#910, </w:t>
      </w:r>
      <w:r w:rsidR="007844D3" w:rsidRPr="00437C69">
        <w:rPr>
          <w:rFonts w:ascii="Arial" w:eastAsia="Malgun Gothic" w:hAnsi="Arial" w:cs="Arial"/>
          <w:lang w:val="en-US" w:eastAsia="zh-CN"/>
        </w:rPr>
        <w:t xml:space="preserve">certain solutions for listed to handle the issues </w:t>
      </w:r>
      <w:r w:rsidR="008E6F3B" w:rsidRPr="00437C69">
        <w:rPr>
          <w:rFonts w:ascii="Arial" w:eastAsia="Malgun Gothic" w:hAnsi="Arial" w:cs="Arial"/>
          <w:lang w:val="en-US" w:eastAsia="zh-CN"/>
        </w:rPr>
        <w:t>that seem to be similar for both soft feeder link swicth as well as service link switch for Earth fixed beams.</w:t>
      </w:r>
      <w:r w:rsidR="007844D3" w:rsidRPr="00437C69">
        <w:rPr>
          <w:rFonts w:ascii="Arial" w:eastAsia="Malgun Gothic" w:hAnsi="Arial" w:cs="Arial"/>
          <w:lang w:val="en-US" w:eastAsia="zh-CN"/>
        </w:rPr>
        <w:t xml:space="preserve"> </w:t>
      </w:r>
      <w:r w:rsidR="00E74D9F" w:rsidRPr="00437C69">
        <w:rPr>
          <w:rFonts w:ascii="Arial" w:eastAsia="Malgun Gothic" w:hAnsi="Arial" w:cs="Arial"/>
          <w:lang w:val="en-US" w:eastAsia="zh-CN"/>
        </w:rPr>
        <w:t>Soft f</w:t>
      </w:r>
      <w:r w:rsidR="00DF4725" w:rsidRPr="00437C69">
        <w:rPr>
          <w:rFonts w:ascii="Arial" w:eastAsia="Malgun Gothic" w:hAnsi="Arial" w:cs="Arial"/>
          <w:lang w:val="en-US" w:eastAsia="zh-CN"/>
        </w:rPr>
        <w:t xml:space="preserve">eeder link swicthn is </w:t>
      </w:r>
      <w:r w:rsidR="00696C67" w:rsidRPr="00437C69">
        <w:rPr>
          <w:rFonts w:ascii="Arial" w:eastAsia="Malgun Gothic" w:hAnsi="Arial" w:cs="Arial"/>
          <w:lang w:val="en-US" w:eastAsia="zh-CN"/>
        </w:rPr>
        <w:t>depicted for Earth moving and Earth fixed beams</w:t>
      </w:r>
      <w:r w:rsidR="00A7447A" w:rsidRPr="00437C69">
        <w:rPr>
          <w:rFonts w:ascii="Arial" w:eastAsia="Malgun Gothic" w:hAnsi="Arial" w:cs="Arial"/>
          <w:lang w:val="en-US" w:eastAsia="zh-CN"/>
        </w:rPr>
        <w:t xml:space="preserve"> in Figure </w:t>
      </w:r>
      <w:r w:rsidR="00696C67" w:rsidRPr="00437C69">
        <w:rPr>
          <w:rFonts w:ascii="Arial" w:eastAsia="Malgun Gothic" w:hAnsi="Arial" w:cs="Arial"/>
          <w:lang w:val="en-US" w:eastAsia="zh-CN"/>
        </w:rPr>
        <w:t>1.</w:t>
      </w:r>
      <w:r w:rsidR="00A7447A" w:rsidRPr="00437C69">
        <w:rPr>
          <w:rFonts w:ascii="Arial" w:eastAsia="Malgun Gothic" w:hAnsi="Arial" w:cs="Arial"/>
          <w:lang w:val="en-US" w:eastAsia="zh-CN"/>
        </w:rPr>
        <w:t xml:space="preserve"> Here, as gNBs are at the GW, the Uu interface is over the air via feeder link and then via service link. </w:t>
      </w:r>
    </w:p>
    <w:p w14:paraId="45BCAA85" w14:textId="77777777" w:rsidR="00A7447A" w:rsidRDefault="00A7447A" w:rsidP="00A7447A">
      <w:pPr>
        <w:spacing w:before="120" w:after="120"/>
        <w:jc w:val="both"/>
        <w:rPr>
          <w:lang w:eastAsia="ja-JP"/>
        </w:rPr>
      </w:pPr>
    </w:p>
    <w:p w14:paraId="71E67D6A" w14:textId="77777777" w:rsidR="00A7447A" w:rsidRDefault="00A7447A" w:rsidP="00A7447A">
      <w:pPr>
        <w:keepNext/>
        <w:spacing w:before="120" w:after="120"/>
        <w:jc w:val="both"/>
      </w:pPr>
      <w:r>
        <w:rPr>
          <w:noProof/>
        </w:rPr>
        <w:lastRenderedPageBreak/>
        <w:drawing>
          <wp:inline distT="0" distB="0" distL="0" distR="0" wp14:anchorId="18EC3CDF" wp14:editId="068C277E">
            <wp:extent cx="6671408" cy="53090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6671408" cy="5309038"/>
                    </a:xfrm>
                    <a:prstGeom prst="rect">
                      <a:avLst/>
                    </a:prstGeom>
                  </pic:spPr>
                </pic:pic>
              </a:graphicData>
            </a:graphic>
          </wp:inline>
        </w:drawing>
      </w:r>
    </w:p>
    <w:p w14:paraId="32664831" w14:textId="3E53F393" w:rsidR="00A7447A" w:rsidRDefault="00A7447A" w:rsidP="00A7447A">
      <w:pPr>
        <w:pStyle w:val="Caption"/>
        <w:jc w:val="both"/>
        <w:rPr>
          <w:lang w:eastAsia="ja-JP"/>
        </w:rPr>
      </w:pPr>
      <w:r>
        <w:t xml:space="preserve">Figure </w:t>
      </w:r>
      <w:r w:rsidR="00E74D9F">
        <w:rPr>
          <w:noProof/>
        </w:rPr>
        <w:t>1</w:t>
      </w:r>
      <w:r>
        <w:t xml:space="preserve"> Soft feeder link switch for both Earth moving and Earth fixed beams</w:t>
      </w:r>
    </w:p>
    <w:p w14:paraId="7C6956A9" w14:textId="3757C380" w:rsidR="00A7447A" w:rsidRDefault="00A7447A" w:rsidP="00A7447A">
      <w:pPr>
        <w:rPr>
          <w:lang w:val="en-US" w:eastAsia="ja-JP"/>
        </w:rPr>
      </w:pPr>
    </w:p>
    <w:p w14:paraId="7130D0C5" w14:textId="2D808E6C" w:rsidR="003B7BF7" w:rsidRPr="0050502B" w:rsidRDefault="00101C5C" w:rsidP="0050502B">
      <w:pPr>
        <w:spacing w:before="240"/>
        <w:jc w:val="both"/>
        <w:rPr>
          <w:rFonts w:ascii="Arial" w:eastAsia="Malgun Gothic" w:hAnsi="Arial" w:cs="Arial"/>
          <w:lang w:val="en-US" w:eastAsia="zh-CN"/>
        </w:rPr>
      </w:pPr>
      <w:r w:rsidRPr="0050502B">
        <w:rPr>
          <w:rFonts w:ascii="Arial" w:eastAsia="Malgun Gothic" w:hAnsi="Arial" w:cs="Arial"/>
          <w:lang w:val="en-US" w:eastAsia="zh-CN"/>
        </w:rPr>
        <w:t xml:space="preserve">The </w:t>
      </w:r>
      <w:r w:rsidR="003B7BF7" w:rsidRPr="0050502B">
        <w:rPr>
          <w:rFonts w:ascii="Arial" w:eastAsia="Malgun Gothic" w:hAnsi="Arial" w:cs="Arial"/>
          <w:lang w:val="en-US" w:eastAsia="zh-CN"/>
        </w:rPr>
        <w:t xml:space="preserve">service link switch depicted in Figure </w:t>
      </w:r>
      <w:r w:rsidRPr="0050502B">
        <w:rPr>
          <w:rFonts w:ascii="Arial" w:eastAsia="Malgun Gothic" w:hAnsi="Arial" w:cs="Arial"/>
          <w:lang w:val="en-US" w:eastAsia="zh-CN"/>
        </w:rPr>
        <w:t>2</w:t>
      </w:r>
      <w:r w:rsidR="003B7BF7" w:rsidRPr="0050502B">
        <w:rPr>
          <w:rFonts w:ascii="Arial" w:eastAsia="Malgun Gothic" w:hAnsi="Arial" w:cs="Arial"/>
          <w:lang w:val="en-US" w:eastAsia="zh-CN"/>
        </w:rPr>
        <w:t xml:space="preserve">. Due to the movement of the non-GEO satellites in relation to the surface of the earth, at some point in time one satellite leaves and is not able to serve a certain geographical area. </w:t>
      </w:r>
    </w:p>
    <w:p w14:paraId="78C5FCD1" w14:textId="77777777" w:rsidR="003B7BF7" w:rsidRDefault="003B7BF7" w:rsidP="003B7BF7">
      <w:pPr>
        <w:spacing w:before="120" w:after="120"/>
        <w:jc w:val="both"/>
      </w:pPr>
    </w:p>
    <w:p w14:paraId="5E80C374" w14:textId="77777777" w:rsidR="003B7BF7" w:rsidRDefault="003B7BF7" w:rsidP="003B7BF7">
      <w:pPr>
        <w:keepNext/>
        <w:spacing w:before="120" w:after="120"/>
        <w:jc w:val="both"/>
      </w:pPr>
      <w:r>
        <w:rPr>
          <w:noProof/>
        </w:rPr>
        <w:lastRenderedPageBreak/>
        <w:drawing>
          <wp:inline distT="0" distB="0" distL="0" distR="0" wp14:anchorId="32B7F094" wp14:editId="462AD6D0">
            <wp:extent cx="4326185" cy="26317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4326185" cy="2631758"/>
                    </a:xfrm>
                    <a:prstGeom prst="rect">
                      <a:avLst/>
                    </a:prstGeom>
                  </pic:spPr>
                </pic:pic>
              </a:graphicData>
            </a:graphic>
          </wp:inline>
        </w:drawing>
      </w:r>
    </w:p>
    <w:p w14:paraId="0CD717C7" w14:textId="5810B513" w:rsidR="003B7BF7" w:rsidRDefault="003B7BF7" w:rsidP="003B7BF7">
      <w:pPr>
        <w:pStyle w:val="Caption"/>
        <w:jc w:val="both"/>
      </w:pPr>
      <w:r>
        <w:t xml:space="preserve">Figure </w:t>
      </w:r>
      <w:r w:rsidR="00101C5C">
        <w:rPr>
          <w:noProof/>
        </w:rPr>
        <w:t>2</w:t>
      </w:r>
      <w:r>
        <w:t xml:space="preserve"> Service link switch for Earth fixed beams</w:t>
      </w:r>
    </w:p>
    <w:p w14:paraId="3CF3D4A0" w14:textId="77777777" w:rsidR="003B7BF7" w:rsidRPr="00A7447A" w:rsidRDefault="003B7BF7" w:rsidP="00A7447A">
      <w:pPr>
        <w:rPr>
          <w:lang w:val="en-US" w:eastAsia="ja-JP"/>
        </w:rPr>
      </w:pPr>
    </w:p>
    <w:p w14:paraId="7B68AE1F" w14:textId="3FC0B6E1" w:rsidR="00C0465D" w:rsidRPr="0050502B" w:rsidRDefault="00C0465D" w:rsidP="0050502B">
      <w:pPr>
        <w:spacing w:before="240"/>
        <w:jc w:val="both"/>
        <w:rPr>
          <w:rFonts w:ascii="Arial" w:eastAsia="Malgun Gothic" w:hAnsi="Arial" w:cs="Arial"/>
          <w:lang w:val="en-US" w:eastAsia="zh-CN"/>
        </w:rPr>
      </w:pPr>
      <w:r w:rsidRPr="0050502B">
        <w:rPr>
          <w:rFonts w:ascii="Arial" w:eastAsia="Malgun Gothic" w:hAnsi="Arial" w:cs="Arial"/>
          <w:lang w:val="en-US" w:eastAsia="zh-CN"/>
        </w:rPr>
        <w:t>In the email discussion 910 the following categorization was made</w:t>
      </w:r>
      <w:r w:rsidR="00B818AA" w:rsidRPr="0050502B">
        <w:rPr>
          <w:rFonts w:ascii="Arial" w:eastAsia="Malgun Gothic" w:hAnsi="Arial" w:cs="Arial"/>
          <w:lang w:val="en-US" w:eastAsia="zh-CN"/>
        </w:rPr>
        <w:t xml:space="preserve"> for feeder and service link switch related issues and solutions</w:t>
      </w:r>
      <w:r w:rsidRPr="0050502B">
        <w:rPr>
          <w:rFonts w:ascii="Arial" w:eastAsia="Malgun Gothic" w:hAnsi="Arial" w:cs="Arial"/>
          <w:lang w:val="en-US" w:eastAsia="zh-CN"/>
        </w:rPr>
        <w:t xml:space="preserve"> </w:t>
      </w:r>
    </w:p>
    <w:p w14:paraId="5256F7A5" w14:textId="77777777" w:rsidR="00C0465D" w:rsidRPr="0050502B" w:rsidRDefault="00C0465D" w:rsidP="00C0465D">
      <w:pPr>
        <w:pStyle w:val="ListParagraph"/>
        <w:numPr>
          <w:ilvl w:val="0"/>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For Issue 1, 10:</w:t>
      </w:r>
      <w:r w:rsidRPr="0050502B">
        <w:rPr>
          <w:rFonts w:ascii="Arial" w:hAnsi="Arial" w:cs="Arial"/>
        </w:rPr>
        <w:t xml:space="preserve"> Many connected mode UEs need to be handed over within the duration of the service link switch or soft feeder link switch</w:t>
      </w:r>
    </w:p>
    <w:p w14:paraId="6D676927" w14:textId="77777777" w:rsidR="00C0465D" w:rsidRPr="0050502B" w:rsidRDefault="00C0465D" w:rsidP="00C0465D">
      <w:pPr>
        <w:pStyle w:val="ListParagraph"/>
        <w:numPr>
          <w:ilvl w:val="1"/>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Solution 1:</w:t>
      </w:r>
      <w:r w:rsidRPr="0050502B">
        <w:rPr>
          <w:rFonts w:ascii="Arial" w:hAnsi="Arial" w:cs="Arial"/>
        </w:rPr>
        <w:t xml:space="preserve"> Conditional HO (Discussed further in email discussion [911])</w:t>
      </w:r>
    </w:p>
    <w:p w14:paraId="3339F2CE" w14:textId="77777777" w:rsidR="00C0465D" w:rsidRPr="0050502B" w:rsidRDefault="00C0465D" w:rsidP="00C0465D">
      <w:pPr>
        <w:pStyle w:val="ListParagraph"/>
        <w:numPr>
          <w:ilvl w:val="1"/>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Solution 2:</w:t>
      </w:r>
      <w:r w:rsidRPr="0050502B">
        <w:rPr>
          <w:rFonts w:ascii="Arial" w:hAnsi="Arial" w:cs="Arial"/>
        </w:rPr>
        <w:t xml:space="preserve"> HO with random access attempts distributed in time</w:t>
      </w:r>
    </w:p>
    <w:p w14:paraId="5124A991" w14:textId="77777777" w:rsidR="00C0465D" w:rsidRPr="0050502B" w:rsidRDefault="00C0465D" w:rsidP="00C0465D">
      <w:pPr>
        <w:pStyle w:val="ListParagraph"/>
        <w:numPr>
          <w:ilvl w:val="1"/>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Solution 3:</w:t>
      </w:r>
      <w:r w:rsidRPr="0050502B">
        <w:rPr>
          <w:rFonts w:ascii="Arial" w:hAnsi="Arial" w:cs="Arial"/>
        </w:rPr>
        <w:t xml:space="preserve"> Group HO, e.g. common part of HO command in SI and UE specific with UE specific signalling.</w:t>
      </w:r>
    </w:p>
    <w:p w14:paraId="068A0CA0" w14:textId="77777777" w:rsidR="00C0465D" w:rsidRPr="0050502B" w:rsidRDefault="00C0465D" w:rsidP="00C0465D">
      <w:pPr>
        <w:pStyle w:val="ListParagraph"/>
        <w:numPr>
          <w:ilvl w:val="1"/>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Solution 4:</w:t>
      </w:r>
      <w:r w:rsidRPr="0050502B">
        <w:rPr>
          <w:rFonts w:ascii="Arial" w:hAnsi="Arial" w:cs="Arial"/>
        </w:rPr>
        <w:t xml:space="preserve"> No enhancements for HO command/procedure, leave up to network implementation</w:t>
      </w:r>
    </w:p>
    <w:p w14:paraId="79130DA5" w14:textId="77777777" w:rsidR="00C0465D" w:rsidRPr="0050502B" w:rsidRDefault="00C0465D" w:rsidP="00C0465D">
      <w:pPr>
        <w:pStyle w:val="ListParagraph"/>
        <w:numPr>
          <w:ilvl w:val="0"/>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Issue 6:</w:t>
      </w:r>
      <w:r w:rsidRPr="0050502B">
        <w:rPr>
          <w:rFonts w:ascii="Arial" w:hAnsi="Arial" w:cs="Arial"/>
        </w:rPr>
        <w:t xml:space="preserve"> Many connected mode UEs need to be moved to next cell within the duration of the hard feeder link switch</w:t>
      </w:r>
    </w:p>
    <w:p w14:paraId="6AFF63A2" w14:textId="77777777" w:rsidR="00C0465D" w:rsidRPr="0050502B" w:rsidRDefault="00C0465D" w:rsidP="00C0465D">
      <w:pPr>
        <w:pStyle w:val="ListParagraph"/>
        <w:numPr>
          <w:ilvl w:val="1"/>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Solution 5:</w:t>
      </w:r>
      <w:r w:rsidRPr="0050502B">
        <w:rPr>
          <w:rFonts w:ascii="Arial" w:hAnsi="Arial" w:cs="Arial"/>
        </w:rPr>
        <w:t xml:space="preserve"> Enhanced connection re-establishment procedures. </w:t>
      </w:r>
    </w:p>
    <w:p w14:paraId="629E1EE2" w14:textId="45BF0332" w:rsidR="00C0465D" w:rsidRPr="0050502B" w:rsidRDefault="00C0465D" w:rsidP="00C0465D">
      <w:pPr>
        <w:pStyle w:val="ListParagraph"/>
        <w:numPr>
          <w:ilvl w:val="1"/>
          <w:numId w:val="42"/>
        </w:numPr>
        <w:overflowPunct w:val="0"/>
        <w:autoSpaceDE w:val="0"/>
        <w:autoSpaceDN w:val="0"/>
        <w:adjustRightInd w:val="0"/>
        <w:spacing w:before="120" w:after="120" w:line="240" w:lineRule="auto"/>
        <w:contextualSpacing/>
        <w:jc w:val="both"/>
        <w:textAlignment w:val="baseline"/>
        <w:rPr>
          <w:rFonts w:ascii="Arial" w:hAnsi="Arial" w:cs="Arial"/>
        </w:rPr>
      </w:pPr>
      <w:r w:rsidRPr="0050502B">
        <w:rPr>
          <w:rFonts w:ascii="Arial" w:hAnsi="Arial" w:cs="Arial"/>
          <w:i/>
          <w:iCs/>
        </w:rPr>
        <w:t>Solution 6:</w:t>
      </w:r>
      <w:r w:rsidRPr="0050502B">
        <w:rPr>
          <w:rFonts w:ascii="Arial" w:hAnsi="Arial" w:cs="Arial"/>
        </w:rPr>
        <w:t xml:space="preserve"> Conditional HO (Discussed further in email discussion [911])</w:t>
      </w:r>
    </w:p>
    <w:p w14:paraId="6D3B1068" w14:textId="27577FD5" w:rsidR="004B5398" w:rsidRPr="0050502B" w:rsidRDefault="00CE75AF" w:rsidP="0050502B">
      <w:pPr>
        <w:spacing w:before="240"/>
        <w:jc w:val="both"/>
        <w:rPr>
          <w:rFonts w:ascii="Arial" w:eastAsia="Malgun Gothic" w:hAnsi="Arial" w:cs="Arial"/>
          <w:lang w:val="en-US" w:eastAsia="zh-CN"/>
        </w:rPr>
      </w:pPr>
      <w:r w:rsidRPr="0050502B">
        <w:rPr>
          <w:rFonts w:ascii="Arial" w:eastAsia="Malgun Gothic" w:hAnsi="Arial" w:cs="Arial"/>
          <w:lang w:val="en-US" w:eastAsia="zh-CN"/>
        </w:rPr>
        <w:t xml:space="preserve">One relevant and common aspect </w:t>
      </w:r>
      <w:r w:rsidR="008C5060" w:rsidRPr="0050502B">
        <w:rPr>
          <w:rFonts w:ascii="Arial" w:eastAsia="Malgun Gothic" w:hAnsi="Arial" w:cs="Arial"/>
          <w:lang w:val="en-US" w:eastAsia="zh-CN"/>
        </w:rPr>
        <w:t xml:space="preserve">for both </w:t>
      </w:r>
      <w:r w:rsidR="00652A36" w:rsidRPr="0050502B">
        <w:rPr>
          <w:rFonts w:ascii="Arial" w:eastAsia="Malgun Gothic" w:hAnsi="Arial" w:cs="Arial"/>
          <w:lang w:val="en-US" w:eastAsia="zh-CN"/>
        </w:rPr>
        <w:t xml:space="preserve">Scenario 1 and 3 </w:t>
      </w:r>
      <w:r w:rsidR="008C5060" w:rsidRPr="0050502B">
        <w:rPr>
          <w:rFonts w:ascii="Arial" w:eastAsia="Malgun Gothic" w:hAnsi="Arial" w:cs="Arial"/>
          <w:lang w:val="en-US" w:eastAsia="zh-CN"/>
        </w:rPr>
        <w:t xml:space="preserve"> in Fig 1 and Fig 2 is that </w:t>
      </w:r>
      <w:r w:rsidR="00EE2ED7" w:rsidRPr="0050502B">
        <w:rPr>
          <w:rFonts w:ascii="Arial" w:eastAsia="Malgun Gothic" w:hAnsi="Arial" w:cs="Arial"/>
          <w:lang w:val="en-US" w:eastAsia="zh-CN"/>
        </w:rPr>
        <w:t>one cell/PCI</w:t>
      </w:r>
      <w:r w:rsidR="00C9059E" w:rsidRPr="0050502B">
        <w:rPr>
          <w:rFonts w:ascii="Arial" w:eastAsia="Malgun Gothic" w:hAnsi="Arial" w:cs="Arial"/>
          <w:lang w:val="en-US" w:eastAsia="zh-CN"/>
        </w:rPr>
        <w:t xml:space="preserve"> is </w:t>
      </w:r>
      <w:r w:rsidR="0005457D" w:rsidRPr="0050502B">
        <w:rPr>
          <w:rFonts w:ascii="Arial" w:eastAsia="Malgun Gothic" w:hAnsi="Arial" w:cs="Arial"/>
          <w:lang w:val="en-US" w:eastAsia="zh-CN"/>
        </w:rPr>
        <w:t>going to stop serving an area</w:t>
      </w:r>
      <w:r w:rsidR="00A469E0" w:rsidRPr="0050502B">
        <w:rPr>
          <w:rFonts w:ascii="Arial" w:eastAsia="Malgun Gothic" w:hAnsi="Arial" w:cs="Arial"/>
          <w:lang w:val="en-US" w:eastAsia="zh-CN"/>
        </w:rPr>
        <w:t xml:space="preserve">. </w:t>
      </w:r>
      <w:r w:rsidR="00BF0544" w:rsidRPr="0050502B">
        <w:rPr>
          <w:rFonts w:ascii="Arial" w:eastAsia="Malgun Gothic" w:hAnsi="Arial" w:cs="Arial"/>
          <w:lang w:val="en-US" w:eastAsia="zh-CN"/>
        </w:rPr>
        <w:t>This is different from the case of Scenario 2 where the transision is constant</w:t>
      </w:r>
      <w:r w:rsidR="001B4D86" w:rsidRPr="0050502B">
        <w:rPr>
          <w:rFonts w:ascii="Arial" w:eastAsia="Malgun Gothic" w:hAnsi="Arial" w:cs="Arial"/>
          <w:lang w:val="en-US" w:eastAsia="zh-CN"/>
        </w:rPr>
        <w:t xml:space="preserve"> as the cell coverage is sweeping the Earth. </w:t>
      </w:r>
      <w:r w:rsidR="00A469E0" w:rsidRPr="0050502B">
        <w:rPr>
          <w:rFonts w:ascii="Arial" w:eastAsia="Malgun Gothic" w:hAnsi="Arial" w:cs="Arial"/>
          <w:lang w:val="en-US" w:eastAsia="zh-CN"/>
        </w:rPr>
        <w:t>T</w:t>
      </w:r>
      <w:r w:rsidR="004B5398" w:rsidRPr="0050502B">
        <w:rPr>
          <w:rFonts w:ascii="Arial" w:eastAsia="Malgun Gothic" w:hAnsi="Arial" w:cs="Arial"/>
          <w:lang w:val="en-US" w:eastAsia="zh-CN"/>
        </w:rPr>
        <w:t xml:space="preserve">he remaining time Tservice until the </w:t>
      </w:r>
      <w:r w:rsidR="001107FE" w:rsidRPr="0050502B">
        <w:rPr>
          <w:rFonts w:ascii="Arial" w:eastAsia="Malgun Gothic" w:hAnsi="Arial" w:cs="Arial"/>
          <w:lang w:val="en-US" w:eastAsia="zh-CN"/>
        </w:rPr>
        <w:t>cell/PCI</w:t>
      </w:r>
      <w:r w:rsidR="004B5398" w:rsidRPr="0050502B">
        <w:rPr>
          <w:rFonts w:ascii="Arial" w:eastAsia="Malgun Gothic" w:hAnsi="Arial" w:cs="Arial"/>
          <w:lang w:val="en-US" w:eastAsia="zh-CN"/>
        </w:rPr>
        <w:t xml:space="preserve"> is </w:t>
      </w:r>
      <w:r w:rsidR="001107FE" w:rsidRPr="0050502B">
        <w:rPr>
          <w:rFonts w:ascii="Arial" w:eastAsia="Malgun Gothic" w:hAnsi="Arial" w:cs="Arial"/>
          <w:lang w:val="en-US" w:eastAsia="zh-CN"/>
        </w:rPr>
        <w:t>going to stop serving an area</w:t>
      </w:r>
      <w:r w:rsidR="004B5398" w:rsidRPr="0050502B">
        <w:rPr>
          <w:rFonts w:ascii="Arial" w:eastAsia="Malgun Gothic" w:hAnsi="Arial" w:cs="Arial"/>
          <w:lang w:val="en-US" w:eastAsia="zh-CN"/>
        </w:rPr>
        <w:t xml:space="preserve"> </w:t>
      </w:r>
      <w:r w:rsidR="001107FE" w:rsidRPr="0050502B">
        <w:rPr>
          <w:rFonts w:ascii="Arial" w:eastAsia="Malgun Gothic" w:hAnsi="Arial" w:cs="Arial"/>
          <w:lang w:val="en-US" w:eastAsia="zh-CN"/>
        </w:rPr>
        <w:t>can be</w:t>
      </w:r>
      <w:r w:rsidR="004B5398" w:rsidRPr="0050502B">
        <w:rPr>
          <w:rFonts w:ascii="Arial" w:eastAsia="Malgun Gothic" w:hAnsi="Arial" w:cs="Arial"/>
          <w:lang w:val="en-US" w:eastAsia="zh-CN"/>
        </w:rPr>
        <w:t xml:space="preserve"> defined. </w:t>
      </w:r>
      <w:r w:rsidR="00611289" w:rsidRPr="0050502B">
        <w:rPr>
          <w:rFonts w:ascii="Arial" w:eastAsia="Malgun Gothic" w:hAnsi="Arial" w:cs="Arial"/>
          <w:lang w:val="en-US" w:eastAsia="zh-CN"/>
        </w:rPr>
        <w:t xml:space="preserve">While the exact definition can vary and can be discussed further, it is possible to </w:t>
      </w:r>
      <w:r w:rsidR="00892138" w:rsidRPr="0050502B">
        <w:rPr>
          <w:rFonts w:ascii="Arial" w:eastAsia="Malgun Gothic" w:hAnsi="Arial" w:cs="Arial"/>
          <w:lang w:val="en-US" w:eastAsia="zh-CN"/>
        </w:rPr>
        <w:t xml:space="preserve">discuss the relevance of the </w:t>
      </w:r>
      <w:r w:rsidR="004B5398" w:rsidRPr="0050502B">
        <w:rPr>
          <w:rFonts w:ascii="Arial" w:eastAsia="Malgun Gothic" w:hAnsi="Arial" w:cs="Arial"/>
          <w:lang w:val="en-US" w:eastAsia="zh-CN"/>
        </w:rPr>
        <w:t xml:space="preserve">Tservice </w:t>
      </w:r>
      <w:r w:rsidR="00892138" w:rsidRPr="0050502B">
        <w:rPr>
          <w:rFonts w:ascii="Arial" w:eastAsia="Malgun Gothic" w:hAnsi="Arial" w:cs="Arial"/>
          <w:lang w:val="en-US" w:eastAsia="zh-CN"/>
        </w:rPr>
        <w:t xml:space="preserve">with respect to </w:t>
      </w:r>
      <w:r w:rsidR="009A6E23" w:rsidRPr="0050502B">
        <w:rPr>
          <w:rFonts w:ascii="Arial" w:eastAsia="Malgun Gothic" w:hAnsi="Arial" w:cs="Arial"/>
          <w:lang w:val="en-US" w:eastAsia="zh-CN"/>
        </w:rPr>
        <w:t>connected and idle mode mobility procedures</w:t>
      </w:r>
      <w:r w:rsidR="00C36DE6" w:rsidRPr="0050502B">
        <w:rPr>
          <w:rFonts w:ascii="Arial" w:eastAsia="Malgun Gothic" w:hAnsi="Arial" w:cs="Arial"/>
          <w:lang w:val="en-US" w:eastAsia="zh-CN"/>
        </w:rPr>
        <w:t xml:space="preserve"> without the exact definition settled.</w:t>
      </w:r>
    </w:p>
    <w:p w14:paraId="1101202B" w14:textId="587E2BB0" w:rsidR="00EB7242" w:rsidRDefault="00EB7242" w:rsidP="00A469E0">
      <w:pPr>
        <w:overflowPunct w:val="0"/>
        <w:autoSpaceDE w:val="0"/>
        <w:autoSpaceDN w:val="0"/>
        <w:adjustRightInd w:val="0"/>
        <w:spacing w:before="120" w:after="120" w:line="240" w:lineRule="auto"/>
        <w:contextualSpacing/>
        <w:jc w:val="both"/>
        <w:textAlignment w:val="baseline"/>
      </w:pPr>
    </w:p>
    <w:p w14:paraId="045B11AE" w14:textId="77777777" w:rsidR="00944F75" w:rsidRPr="00D85F6B" w:rsidRDefault="00944F75" w:rsidP="00944F75">
      <w:pPr>
        <w:pStyle w:val="BodyText"/>
        <w:rPr>
          <w:lang w:val="en-US"/>
        </w:rPr>
      </w:pPr>
    </w:p>
    <w:p w14:paraId="6417A868" w14:textId="4710F7A0" w:rsidR="00C27E46" w:rsidRPr="0050502B" w:rsidRDefault="00C27E46" w:rsidP="00944F75">
      <w:pPr>
        <w:pStyle w:val="Observation"/>
        <w:rPr>
          <w:lang w:val="en-US"/>
        </w:rPr>
      </w:pPr>
      <w:bookmarkStart w:id="2" w:name="_Toc53147761"/>
      <w:bookmarkStart w:id="3" w:name="_Toc54336182"/>
      <w:r>
        <w:rPr>
          <w:lang w:val="en-US"/>
        </w:rPr>
        <w:t>A</w:t>
      </w:r>
      <w:r w:rsidR="00944F75">
        <w:rPr>
          <w:lang w:val="en-US"/>
        </w:rPr>
        <w:t xml:space="preserve"> </w:t>
      </w:r>
      <w:r>
        <w:t xml:space="preserve">relevant and common aspect for </w:t>
      </w:r>
      <w:r w:rsidR="00AF39C6">
        <w:t>Scenarios 1 and 3</w:t>
      </w:r>
      <w:r w:rsidR="003515CD">
        <w:t xml:space="preserve"> </w:t>
      </w:r>
      <w:r>
        <w:t>is that one cell/PCI is going to stop serving an area</w:t>
      </w:r>
      <w:r w:rsidR="00652A36">
        <w:t xml:space="preserve"> at a certain time</w:t>
      </w:r>
      <w:r>
        <w:t>.</w:t>
      </w:r>
      <w:bookmarkEnd w:id="3"/>
      <w:r>
        <w:t xml:space="preserve"> </w:t>
      </w:r>
    </w:p>
    <w:p w14:paraId="34C1EE71" w14:textId="6F171793" w:rsidR="00944F75" w:rsidRPr="001571D3" w:rsidRDefault="00C27E46" w:rsidP="00944F75">
      <w:pPr>
        <w:pStyle w:val="Observation"/>
        <w:rPr>
          <w:lang w:val="en-US"/>
        </w:rPr>
      </w:pPr>
      <w:bookmarkStart w:id="4" w:name="_Toc54336183"/>
      <w:r>
        <w:t>The remaining time T</w:t>
      </w:r>
      <w:r>
        <w:rPr>
          <w:vertAlign w:val="subscript"/>
        </w:rPr>
        <w:t>service</w:t>
      </w:r>
      <w:r>
        <w:t xml:space="preserve"> until the cell/PCI is going to stop serving an area can be defined.</w:t>
      </w:r>
      <w:bookmarkEnd w:id="2"/>
      <w:bookmarkEnd w:id="4"/>
    </w:p>
    <w:p w14:paraId="0EE541AA" w14:textId="77777777" w:rsidR="00944F75" w:rsidRDefault="00944F75" w:rsidP="00944F75">
      <w:pPr>
        <w:pStyle w:val="BodyText"/>
        <w:rPr>
          <w:lang w:val="en-US"/>
        </w:rPr>
      </w:pPr>
    </w:p>
    <w:p w14:paraId="49A8DA04" w14:textId="77777777" w:rsidR="000C5BA1" w:rsidRPr="00413B6A" w:rsidRDefault="000C5BA1" w:rsidP="000C5BA1">
      <w:pPr>
        <w:pStyle w:val="BodyText"/>
        <w:rPr>
          <w:lang w:val="en-US"/>
        </w:rPr>
      </w:pPr>
    </w:p>
    <w:p w14:paraId="6DC09554" w14:textId="7EB1552B" w:rsidR="000C5BA1" w:rsidRDefault="000C5BA1" w:rsidP="000C5BA1">
      <w:pPr>
        <w:pStyle w:val="Proposal"/>
        <w:rPr>
          <w:lang w:val="en-US"/>
        </w:rPr>
      </w:pPr>
      <w:bookmarkStart w:id="5" w:name="_Toc54336187"/>
      <w:r w:rsidRPr="00413B6A">
        <w:rPr>
          <w:lang w:val="en-US"/>
        </w:rPr>
        <w:t xml:space="preserve">RAN2 </w:t>
      </w:r>
      <w:r>
        <w:rPr>
          <w:lang w:val="en-US"/>
        </w:rPr>
        <w:t>to</w:t>
      </w:r>
      <w:r w:rsidR="00B736DE">
        <w:rPr>
          <w:lang w:val="en-US"/>
        </w:rPr>
        <w:t xml:space="preserve"> </w:t>
      </w:r>
      <w:r w:rsidR="00B736DE">
        <w:t>discuss the relevance of the T</w:t>
      </w:r>
      <w:r w:rsidR="00B736DE">
        <w:rPr>
          <w:vertAlign w:val="subscript"/>
        </w:rPr>
        <w:t>service</w:t>
      </w:r>
      <w:r w:rsidR="00B736DE">
        <w:t xml:space="preserve"> with respect to connected and idle mode mobility procedures</w:t>
      </w:r>
      <w:r w:rsidRPr="00413B6A">
        <w:rPr>
          <w:lang w:val="en-US"/>
        </w:rPr>
        <w:t>.</w:t>
      </w:r>
      <w:bookmarkEnd w:id="5"/>
    </w:p>
    <w:p w14:paraId="7B5EF146" w14:textId="77777777" w:rsidR="00944F75" w:rsidRDefault="00944F75" w:rsidP="00A469E0">
      <w:pPr>
        <w:overflowPunct w:val="0"/>
        <w:autoSpaceDE w:val="0"/>
        <w:autoSpaceDN w:val="0"/>
        <w:adjustRightInd w:val="0"/>
        <w:spacing w:before="120" w:after="120" w:line="240" w:lineRule="auto"/>
        <w:contextualSpacing/>
        <w:jc w:val="both"/>
        <w:textAlignment w:val="baseline"/>
      </w:pPr>
    </w:p>
    <w:p w14:paraId="59B9E296" w14:textId="4B36723A" w:rsidR="00EB7242" w:rsidRDefault="00EB7242" w:rsidP="00A469E0">
      <w:pPr>
        <w:overflowPunct w:val="0"/>
        <w:autoSpaceDE w:val="0"/>
        <w:autoSpaceDN w:val="0"/>
        <w:adjustRightInd w:val="0"/>
        <w:spacing w:before="120" w:after="120" w:line="240" w:lineRule="auto"/>
        <w:contextualSpacing/>
        <w:jc w:val="both"/>
        <w:textAlignment w:val="baseline"/>
      </w:pPr>
    </w:p>
    <w:p w14:paraId="02C8FDD4" w14:textId="6EC898FE" w:rsidR="00EB7242" w:rsidRPr="0050502B" w:rsidRDefault="00C279E8" w:rsidP="00A469E0">
      <w:pPr>
        <w:overflowPunct w:val="0"/>
        <w:autoSpaceDE w:val="0"/>
        <w:autoSpaceDN w:val="0"/>
        <w:adjustRightInd w:val="0"/>
        <w:spacing w:before="120" w:after="120" w:line="240" w:lineRule="auto"/>
        <w:contextualSpacing/>
        <w:jc w:val="both"/>
        <w:textAlignment w:val="baseline"/>
        <w:rPr>
          <w:rFonts w:ascii="Arial" w:hAnsi="Arial" w:cs="Arial"/>
          <w:sz w:val="32"/>
          <w:szCs w:val="32"/>
        </w:rPr>
      </w:pPr>
      <w:r w:rsidRPr="0050502B">
        <w:rPr>
          <w:rFonts w:ascii="Arial" w:hAnsi="Arial" w:cs="Arial"/>
          <w:sz w:val="32"/>
          <w:szCs w:val="32"/>
          <w:lang w:val="en-US"/>
        </w:rPr>
        <w:t xml:space="preserve">2.1 </w:t>
      </w:r>
      <w:r w:rsidR="00980E22" w:rsidRPr="0050502B">
        <w:rPr>
          <w:rFonts w:ascii="Arial" w:hAnsi="Arial" w:cs="Arial"/>
          <w:sz w:val="32"/>
          <w:szCs w:val="32"/>
          <w:lang w:val="en-US"/>
        </w:rPr>
        <w:t>Connected mode mobility</w:t>
      </w:r>
      <w:r w:rsidR="002561C7" w:rsidRPr="0050502B">
        <w:rPr>
          <w:rFonts w:ascii="Arial" w:hAnsi="Arial" w:cs="Arial"/>
          <w:sz w:val="32"/>
          <w:szCs w:val="32"/>
          <w:lang w:val="en-US"/>
        </w:rPr>
        <w:t xml:space="preserve"> for Scenarios 1 and 3</w:t>
      </w:r>
    </w:p>
    <w:p w14:paraId="268FA0BE" w14:textId="77777777" w:rsidR="00522E92" w:rsidRDefault="00522E92" w:rsidP="00522E92">
      <w:pPr>
        <w:pStyle w:val="BodyText"/>
      </w:pPr>
    </w:p>
    <w:p w14:paraId="532AB3FA" w14:textId="1E726B6B" w:rsidR="00522E92" w:rsidRDefault="00522E92" w:rsidP="00522E92">
      <w:pPr>
        <w:pStyle w:val="BodyText"/>
      </w:pPr>
      <w:r>
        <w:t>In the Connected mode email discussion [911], the following has been conlcuded where the fisrt three proposals are marked ”to be agreed” and the last one ”to be discussed”</w:t>
      </w:r>
    </w:p>
    <w:p w14:paraId="28474F92" w14:textId="77777777" w:rsidR="00522E92" w:rsidRPr="0050502B" w:rsidRDefault="00522E92" w:rsidP="00522E92">
      <w:pPr>
        <w:spacing w:before="240"/>
        <w:ind w:left="567"/>
        <w:jc w:val="both"/>
        <w:rPr>
          <w:rFonts w:ascii="Arial" w:eastAsia="Malgun Gothic" w:hAnsi="Arial" w:cs="Arial"/>
          <w:i/>
          <w:iCs/>
          <w:lang w:val="en-US" w:eastAsia="ko-KR"/>
        </w:rPr>
      </w:pPr>
      <w:r w:rsidRPr="0050502B">
        <w:rPr>
          <w:rFonts w:ascii="Arial" w:eastAsia="SimSun" w:hAnsi="Arial" w:cs="Arial"/>
          <w:i/>
          <w:iCs/>
          <w:lang w:val="en-US" w:eastAsia="zh-CN"/>
        </w:rPr>
        <w:t xml:space="preserve">P 2.1: The CHO can be used in NTN for both moving cell and fixed cell scenarios, and the CHO procedure and execution condition defined in Rel-16 shall be considered as baseline. </w:t>
      </w:r>
    </w:p>
    <w:p w14:paraId="52C44E08" w14:textId="77777777" w:rsidR="00522E92" w:rsidRPr="0050502B" w:rsidRDefault="00522E92" w:rsidP="00522E92">
      <w:pPr>
        <w:spacing w:before="240"/>
        <w:ind w:left="567"/>
        <w:jc w:val="both"/>
        <w:rPr>
          <w:rFonts w:ascii="Arial" w:eastAsia="SimSun" w:hAnsi="Arial" w:cs="Arial"/>
          <w:i/>
          <w:iCs/>
          <w:lang w:val="en-US" w:eastAsia="zh-CN"/>
        </w:rPr>
      </w:pPr>
      <w:r w:rsidRPr="0050502B">
        <w:rPr>
          <w:rFonts w:ascii="Arial" w:eastAsia="SimSun" w:hAnsi="Arial" w:cs="Arial"/>
          <w:i/>
          <w:iCs/>
          <w:lang w:val="en-US" w:eastAsia="zh-CN"/>
        </w:rPr>
        <w:t>P 2.2: NTN specific CHO execution condition should be introduced.</w:t>
      </w:r>
    </w:p>
    <w:p w14:paraId="4FF2795F" w14:textId="77777777" w:rsidR="00522E92" w:rsidRPr="0050502B" w:rsidRDefault="00522E92" w:rsidP="00522E92">
      <w:pPr>
        <w:spacing w:line="260" w:lineRule="auto"/>
        <w:ind w:left="567"/>
        <w:rPr>
          <w:rFonts w:ascii="Arial" w:eastAsia="SimSun" w:hAnsi="Arial" w:cs="Arial"/>
          <w:i/>
          <w:iCs/>
          <w:lang w:val="en-US" w:eastAsia="zh-CN"/>
        </w:rPr>
      </w:pPr>
      <w:r w:rsidRPr="0050502B">
        <w:rPr>
          <w:rFonts w:ascii="Arial" w:eastAsia="SimSun" w:hAnsi="Arial" w:cs="Arial"/>
          <w:i/>
          <w:iCs/>
          <w:lang w:val="en-US" w:eastAsia="zh-CN"/>
        </w:rPr>
        <w:t>P 2.3a: Location based CHO execution condition should be introduce for both moving cell and fixed cell scenario.</w:t>
      </w:r>
    </w:p>
    <w:p w14:paraId="24272401" w14:textId="77777777" w:rsidR="00522E92" w:rsidRPr="0050502B" w:rsidRDefault="00522E92" w:rsidP="00522E92">
      <w:pPr>
        <w:spacing w:before="240"/>
        <w:ind w:left="567"/>
        <w:jc w:val="both"/>
        <w:rPr>
          <w:rFonts w:ascii="Arial" w:eastAsia="SimSun" w:hAnsi="Arial" w:cs="Arial"/>
          <w:lang w:val="en-US" w:eastAsia="zh-CN"/>
        </w:rPr>
      </w:pPr>
      <w:r w:rsidRPr="0050502B">
        <w:rPr>
          <w:rFonts w:ascii="Arial" w:eastAsia="SimSun" w:hAnsi="Arial" w:cs="Arial"/>
          <w:i/>
          <w:iCs/>
          <w:lang w:val="en-US" w:eastAsia="zh-CN"/>
        </w:rPr>
        <w:t>P 2.3b: Timer based CHO execution condition should be introduced for moving cell scenario.</w:t>
      </w:r>
    </w:p>
    <w:p w14:paraId="0C9D02D3" w14:textId="77777777" w:rsidR="00522E92" w:rsidRDefault="00522E92" w:rsidP="00522E92">
      <w:pPr>
        <w:pStyle w:val="BodyText"/>
      </w:pPr>
      <w:r>
        <w:t>In that email discussion the Scenarion 1-3 were not considered and thus triggeres stemming from these scenarios. Then again, i</w:t>
      </w:r>
      <w:r w:rsidRPr="002879DF">
        <w:t>n the email discussion [910] Impacts of earth fixed and moving, the following can conlcuded:</w:t>
      </w:r>
    </w:p>
    <w:p w14:paraId="7E81FE90" w14:textId="77777777" w:rsidR="00522E92" w:rsidRPr="00F929A2" w:rsidRDefault="00522E92" w:rsidP="00522E92">
      <w:pPr>
        <w:pStyle w:val="BodyText"/>
        <w:ind w:firstLine="567"/>
        <w:rPr>
          <w:i/>
          <w:iCs/>
        </w:rPr>
      </w:pPr>
      <w:r w:rsidRPr="00F929A2">
        <w:rPr>
          <w:i/>
          <w:iCs/>
        </w:rPr>
        <w:t>Proposal 7 RAN2 to prioritize discussing CHO in context of Scenarios 1-3.</w:t>
      </w:r>
    </w:p>
    <w:p w14:paraId="462A3079" w14:textId="66BA91A6" w:rsidR="00ED7E98" w:rsidRPr="0050502B" w:rsidRDefault="00522E92" w:rsidP="00522E92">
      <w:pPr>
        <w:spacing w:before="240"/>
        <w:jc w:val="both"/>
        <w:rPr>
          <w:rFonts w:ascii="Arial" w:eastAsia="Malgun Gothic" w:hAnsi="Arial" w:cs="Arial"/>
          <w:lang w:val="en-US" w:eastAsia="zh-CN"/>
        </w:rPr>
      </w:pPr>
      <w:r w:rsidRPr="00522E92">
        <w:rPr>
          <w:rFonts w:ascii="Arial" w:eastAsia="Malgun Gothic" w:hAnsi="Arial" w:cs="Arial"/>
          <w:lang w:val="en-US" w:eastAsia="zh-CN"/>
        </w:rPr>
        <w:t xml:space="preserve">Here we discuss this aspect further. </w:t>
      </w:r>
      <w:r w:rsidR="00ED7E98" w:rsidRPr="0050502B">
        <w:rPr>
          <w:rFonts w:ascii="Arial" w:eastAsia="Malgun Gothic" w:hAnsi="Arial" w:cs="Arial"/>
          <w:lang w:val="en-US" w:eastAsia="zh-CN"/>
        </w:rPr>
        <w:t>When the radio link becomes degraded and the UE needs to send measurement reports, it is possible that those reports never reach the network since  the uplink link is degraded or even if they do, the network tries to respond with a handover command that may never reach the UE, either since the downlink is degraded or the handover command is so large that multiple transmissions are required). In NTN, this can especially be the case for LEO when the cells(beams) are moving, during feeder link switch, and for earth fixed beams during service link switch. The</w:t>
      </w:r>
      <w:r w:rsidR="002B0CD6">
        <w:rPr>
          <w:rFonts w:ascii="Arial" w:eastAsia="Malgun Gothic" w:hAnsi="Arial" w:cs="Arial"/>
          <w:lang w:val="en-US" w:eastAsia="zh-CN"/>
        </w:rPr>
        <w:t xml:space="preserve"> F</w:t>
      </w:r>
      <w:r w:rsidR="00ED7E98" w:rsidRPr="0050502B">
        <w:rPr>
          <w:rFonts w:ascii="Arial" w:eastAsia="Malgun Gothic" w:hAnsi="Arial" w:cs="Arial"/>
          <w:lang w:val="en-US" w:eastAsia="zh-CN"/>
        </w:rPr>
        <w:t>igure</w:t>
      </w:r>
      <w:r w:rsidR="002B0CD6">
        <w:rPr>
          <w:rFonts w:ascii="Arial" w:eastAsia="Malgun Gothic" w:hAnsi="Arial" w:cs="Arial"/>
          <w:lang w:val="en-US" w:eastAsia="zh-CN"/>
        </w:rPr>
        <w:t xml:space="preserve"> 3</w:t>
      </w:r>
      <w:r w:rsidR="00ED7E98" w:rsidRPr="0050502B">
        <w:rPr>
          <w:rFonts w:ascii="Arial" w:eastAsia="Malgun Gothic" w:hAnsi="Arial" w:cs="Arial"/>
          <w:lang w:val="en-US" w:eastAsia="zh-CN"/>
        </w:rPr>
        <w:t xml:space="preserve"> shows two examples of this:</w:t>
      </w:r>
    </w:p>
    <w:p w14:paraId="5B92789C" w14:textId="77777777" w:rsidR="00ED7E98" w:rsidRPr="004B5246" w:rsidRDefault="00ED7E98" w:rsidP="00ED7E98">
      <w:pPr>
        <w:pStyle w:val="BodyText"/>
        <w:rPr>
          <w:lang w:val="en-US"/>
        </w:rPr>
      </w:pPr>
      <w:r w:rsidRPr="004B5246">
        <w:rPr>
          <w:lang w:val="en-US"/>
        </w:rPr>
        <w:br/>
      </w:r>
    </w:p>
    <w:p w14:paraId="1D29CCAB" w14:textId="77777777" w:rsidR="00ED7E98" w:rsidRPr="004B5246" w:rsidRDefault="00ED7E98" w:rsidP="00ED7E98">
      <w:pPr>
        <w:pStyle w:val="BodyText"/>
        <w:rPr>
          <w:lang w:val="en-US"/>
        </w:rPr>
      </w:pPr>
      <w:r w:rsidRPr="004B5246">
        <w:rPr>
          <w:noProof/>
          <w:lang w:val="en-US"/>
        </w:rPr>
        <w:lastRenderedPageBreak/>
        <w:drawing>
          <wp:inline distT="0" distB="0" distL="0" distR="0" wp14:anchorId="5C8DA994" wp14:editId="41AF7AFE">
            <wp:extent cx="5760720" cy="3241675"/>
            <wp:effectExtent l="0" t="0" r="0" b="0"/>
            <wp:docPr id="9" name="Picture 9" descr="Figure 1: Mobility-related failure. A UE (User Equipment) represents a mobile terminal in 3GPP specifications langu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igure 1: Mobility-related failure. A UE (User Equipment) represents a mobile terminal in 3GPP specifications language.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3241675"/>
                    </a:xfrm>
                    <a:prstGeom prst="rect">
                      <a:avLst/>
                    </a:prstGeom>
                    <a:noFill/>
                    <a:ln>
                      <a:noFill/>
                    </a:ln>
                  </pic:spPr>
                </pic:pic>
              </a:graphicData>
            </a:graphic>
          </wp:inline>
        </w:drawing>
      </w:r>
    </w:p>
    <w:p w14:paraId="679D8759" w14:textId="1EAE2FDA" w:rsidR="00ED7E98" w:rsidRPr="004B5246" w:rsidRDefault="00ED7E98" w:rsidP="00ED7E98">
      <w:pPr>
        <w:pStyle w:val="BodyText"/>
        <w:rPr>
          <w:lang w:val="en-US"/>
        </w:rPr>
      </w:pPr>
      <w:r w:rsidRPr="004B5246">
        <w:rPr>
          <w:lang w:val="en-US"/>
        </w:rPr>
        <w:t xml:space="preserve">Figure </w:t>
      </w:r>
      <w:r w:rsidR="002B0CD6">
        <w:rPr>
          <w:lang w:val="en-US"/>
        </w:rPr>
        <w:t>3</w:t>
      </w:r>
      <w:r w:rsidRPr="004B5246">
        <w:rPr>
          <w:lang w:val="en-US"/>
        </w:rPr>
        <w:t>: Mobility-related failure.</w:t>
      </w:r>
    </w:p>
    <w:p w14:paraId="215E4943" w14:textId="77777777" w:rsidR="00ED7E98" w:rsidRPr="004B5246" w:rsidRDefault="00ED7E98" w:rsidP="00ED7E98">
      <w:pPr>
        <w:pStyle w:val="BodyText"/>
        <w:rPr>
          <w:lang w:val="en-US"/>
        </w:rPr>
      </w:pPr>
    </w:p>
    <w:p w14:paraId="392D4058" w14:textId="77777777" w:rsidR="00ED7E98" w:rsidRPr="004B5246" w:rsidRDefault="00ED7E98" w:rsidP="00ED7E98">
      <w:pPr>
        <w:pStyle w:val="BodyText"/>
        <w:rPr>
          <w:lang w:val="en-US"/>
        </w:rPr>
      </w:pPr>
      <w:r w:rsidRPr="004B5246">
        <w:rPr>
          <w:lang w:val="en-US"/>
        </w:rPr>
        <w:t>The main motivation of this handover mechanism is to reduce the number of failure occurrences while a UE is moving, e.g., when a handover between cells fails, or when a connection fails even before a handover (HO) is triggered.</w:t>
      </w:r>
      <w:r>
        <w:rPr>
          <w:lang w:val="en-US"/>
        </w:rPr>
        <w:t xml:space="preserve"> </w:t>
      </w:r>
      <w:r w:rsidRPr="004B5246">
        <w:rPr>
          <w:lang w:val="en-US"/>
        </w:rPr>
        <w:t xml:space="preserve">In conditional handover, instead of preparing one target cell as in the legacy case, multiple candidate target cells </w:t>
      </w:r>
      <w:r>
        <w:rPr>
          <w:lang w:val="en-US"/>
        </w:rPr>
        <w:t>can be</w:t>
      </w:r>
      <w:r w:rsidRPr="004B5246">
        <w:rPr>
          <w:lang w:val="en-US"/>
        </w:rPr>
        <w:t xml:space="preserve"> prepared in advance in the network</w:t>
      </w:r>
      <w:r>
        <w:rPr>
          <w:lang w:val="en-US"/>
        </w:rPr>
        <w:t>. Further,</w:t>
      </w:r>
      <w:r w:rsidRPr="004B5246">
        <w:rPr>
          <w:lang w:val="en-US"/>
        </w:rPr>
        <w:t xml:space="preserve"> the handover command </w:t>
      </w:r>
      <w:r>
        <w:rPr>
          <w:lang w:val="en-US"/>
        </w:rPr>
        <w:t>is</w:t>
      </w:r>
      <w:r w:rsidRPr="004B5246">
        <w:rPr>
          <w:lang w:val="en-US"/>
        </w:rPr>
        <w:t xml:space="preserve"> sent to the UE earlier than at legacy handover when the radio conditions are still good, rather than when conditions start to get degraded. When received, the UE stores the command, instead of applying it immediately. The UE only applies the stored command when a condition configured by the network is satisfied for one of the configured candidate target cells. Then the UE executes the handover and connects to the target node as in legacy handover.</w:t>
      </w:r>
    </w:p>
    <w:p w14:paraId="75D4C88D" w14:textId="4B469D0A" w:rsidR="007D4367" w:rsidRDefault="00ED7E98" w:rsidP="00A54AED">
      <w:pPr>
        <w:pStyle w:val="BodyText"/>
      </w:pPr>
      <w:r w:rsidRPr="004B5246">
        <w:rPr>
          <w:lang w:val="en-US"/>
        </w:rPr>
        <w:t xml:space="preserve">When the UE executes the handover in one of the prepared cells, the </w:t>
      </w:r>
      <w:proofErr w:type="spellStart"/>
      <w:r w:rsidRPr="004B5246">
        <w:rPr>
          <w:lang w:val="en-US"/>
        </w:rPr>
        <w:t>gNB</w:t>
      </w:r>
      <w:proofErr w:type="spellEnd"/>
      <w:r w:rsidRPr="004B5246">
        <w:rPr>
          <w:lang w:val="en-US"/>
        </w:rPr>
        <w:t xml:space="preserve"> hosting this cell can inform the source cell that the UE successfully performed the handover in its cell, so that the source cell can cancel the resources reserved by the remaining target candidate cells. Considering that the time between the handover preparation, and thus resource reservation, is not known, the source cell can release such resources by informing target candidate cells before the UE executes the handover. </w:t>
      </w:r>
      <w:r w:rsidR="00522E92">
        <w:t xml:space="preserve">We </w:t>
      </w:r>
      <w:r w:rsidR="000D7B21">
        <w:t xml:space="preserve">propose that </w:t>
      </w:r>
      <w:r w:rsidR="00347704">
        <w:t xml:space="preserve"> </w:t>
      </w:r>
      <w:r w:rsidR="00AB61C6">
        <w:t xml:space="preserve">the </w:t>
      </w:r>
      <w:r w:rsidR="007D4367">
        <w:t xml:space="preserve"> T</w:t>
      </w:r>
      <w:r w:rsidR="007D4367">
        <w:rPr>
          <w:vertAlign w:val="subscript"/>
        </w:rPr>
        <w:t>service</w:t>
      </w:r>
      <w:r w:rsidR="007D4367">
        <w:t xml:space="preserve"> </w:t>
      </w:r>
      <w:r w:rsidR="00671334">
        <w:t xml:space="preserve">can be </w:t>
      </w:r>
      <w:r w:rsidR="007D4367">
        <w:t>provided along with the parameters provided for conditional handover so that the UE performs the handover more efficiently.</w:t>
      </w:r>
    </w:p>
    <w:p w14:paraId="046F28D2" w14:textId="77777777" w:rsidR="00AB61C6" w:rsidRDefault="00AB61C6" w:rsidP="004B5398">
      <w:pPr>
        <w:pStyle w:val="BodyText"/>
      </w:pPr>
    </w:p>
    <w:p w14:paraId="19E2846F" w14:textId="77777777" w:rsidR="001F2C5D" w:rsidRPr="00413B6A" w:rsidRDefault="001F2C5D" w:rsidP="001F2C5D">
      <w:pPr>
        <w:pStyle w:val="BodyText"/>
        <w:rPr>
          <w:lang w:val="en-US"/>
        </w:rPr>
      </w:pPr>
    </w:p>
    <w:p w14:paraId="21FF4455" w14:textId="51109DFA" w:rsidR="001F2C5D" w:rsidRDefault="001F2C5D" w:rsidP="001F2C5D">
      <w:pPr>
        <w:pStyle w:val="Proposal"/>
        <w:rPr>
          <w:lang w:val="en-US"/>
        </w:rPr>
      </w:pPr>
      <w:bookmarkStart w:id="6" w:name="_Toc54336188"/>
      <w:r w:rsidRPr="00413B6A">
        <w:rPr>
          <w:lang w:val="en-US"/>
        </w:rPr>
        <w:t xml:space="preserve">RAN2 </w:t>
      </w:r>
      <w:r>
        <w:rPr>
          <w:lang w:val="en-US"/>
        </w:rPr>
        <w:t xml:space="preserve">to agree that </w:t>
      </w:r>
      <w:r>
        <w:t>T</w:t>
      </w:r>
      <w:r>
        <w:rPr>
          <w:vertAlign w:val="subscript"/>
        </w:rPr>
        <w:t>service</w:t>
      </w:r>
      <w:r>
        <w:t xml:space="preserve"> can be provided along with the parameters provided for conditional handover</w:t>
      </w:r>
      <w:r w:rsidRPr="00413B6A">
        <w:rPr>
          <w:lang w:val="en-US"/>
        </w:rPr>
        <w:t>.</w:t>
      </w:r>
      <w:bookmarkEnd w:id="6"/>
    </w:p>
    <w:p w14:paraId="6B9D00ED" w14:textId="77777777" w:rsidR="00AB61C6" w:rsidRDefault="00AB61C6" w:rsidP="004B5398">
      <w:pPr>
        <w:pStyle w:val="BodyText"/>
      </w:pPr>
    </w:p>
    <w:p w14:paraId="5D6C52F8" w14:textId="77777777" w:rsidR="00AA014D" w:rsidRDefault="00AA014D" w:rsidP="00AA014D">
      <w:pPr>
        <w:overflowPunct w:val="0"/>
        <w:autoSpaceDE w:val="0"/>
        <w:autoSpaceDN w:val="0"/>
        <w:adjustRightInd w:val="0"/>
        <w:spacing w:before="120" w:after="120" w:line="240" w:lineRule="auto"/>
        <w:contextualSpacing/>
        <w:jc w:val="both"/>
        <w:textAlignment w:val="baseline"/>
      </w:pPr>
    </w:p>
    <w:p w14:paraId="1FB7E038" w14:textId="35BE6431" w:rsidR="00AA014D" w:rsidRPr="00286B3D" w:rsidRDefault="00AA014D" w:rsidP="00AA014D">
      <w:pPr>
        <w:overflowPunct w:val="0"/>
        <w:autoSpaceDE w:val="0"/>
        <w:autoSpaceDN w:val="0"/>
        <w:adjustRightInd w:val="0"/>
        <w:spacing w:before="120" w:after="120" w:line="240" w:lineRule="auto"/>
        <w:contextualSpacing/>
        <w:jc w:val="both"/>
        <w:textAlignment w:val="baseline"/>
        <w:rPr>
          <w:sz w:val="32"/>
          <w:szCs w:val="32"/>
        </w:rPr>
      </w:pPr>
      <w:r w:rsidRPr="00286B3D">
        <w:rPr>
          <w:sz w:val="32"/>
          <w:szCs w:val="32"/>
          <w:lang w:val="en-US"/>
        </w:rPr>
        <w:t xml:space="preserve">2.1 </w:t>
      </w:r>
      <w:r>
        <w:rPr>
          <w:sz w:val="32"/>
          <w:szCs w:val="32"/>
          <w:lang w:val="en-US"/>
        </w:rPr>
        <w:t>Idle</w:t>
      </w:r>
      <w:r w:rsidRPr="00286B3D">
        <w:rPr>
          <w:sz w:val="32"/>
          <w:szCs w:val="32"/>
          <w:lang w:val="en-US"/>
        </w:rPr>
        <w:t xml:space="preserve"> mode mobility</w:t>
      </w:r>
      <w:r w:rsidR="002561C7" w:rsidRPr="002561C7">
        <w:rPr>
          <w:sz w:val="32"/>
          <w:szCs w:val="32"/>
          <w:lang w:val="en-US"/>
        </w:rPr>
        <w:t xml:space="preserve"> </w:t>
      </w:r>
      <w:r w:rsidR="002561C7">
        <w:rPr>
          <w:sz w:val="32"/>
          <w:szCs w:val="32"/>
          <w:lang w:val="en-US"/>
        </w:rPr>
        <w:t>for Scenarios 1 and 3</w:t>
      </w:r>
    </w:p>
    <w:p w14:paraId="78870565" w14:textId="77777777" w:rsidR="00411E1E" w:rsidRDefault="00411E1E" w:rsidP="005C268C">
      <w:pPr>
        <w:pStyle w:val="BodyText"/>
        <w:rPr>
          <w:rFonts w:asciiTheme="minorHAnsi" w:hAnsiTheme="minorHAnsi"/>
        </w:rPr>
      </w:pPr>
    </w:p>
    <w:p w14:paraId="1E4A35D1" w14:textId="5AA75951" w:rsidR="00DD06D7" w:rsidRDefault="0030731E" w:rsidP="00A6468D">
      <w:pPr>
        <w:pStyle w:val="BodyText"/>
      </w:pPr>
      <w:r w:rsidRPr="0050502B">
        <w:lastRenderedPageBreak/>
        <w:t>If the UE knows which cells are going to be available and for how long, this information can be u</w:t>
      </w:r>
      <w:r w:rsidR="00FA4912">
        <w:t xml:space="preserve">suful </w:t>
      </w:r>
      <w:r w:rsidRPr="0050502B">
        <w:t>in the cell selection and reselection process</w:t>
      </w:r>
      <w:r w:rsidR="00FA4912">
        <w:t xml:space="preserve"> in order to minimize UE selecting a cell that is about to vanish</w:t>
      </w:r>
      <w:r w:rsidRPr="0050502B">
        <w:t>.</w:t>
      </w:r>
      <w:r w:rsidR="00FA4912">
        <w:t xml:space="preserve"> </w:t>
      </w:r>
      <w:r w:rsidR="00081ECE">
        <w:t xml:space="preserve"> For example</w:t>
      </w:r>
      <w:r w:rsidR="00A6468D">
        <w:t>, T</w:t>
      </w:r>
      <w:r w:rsidR="00A6468D">
        <w:rPr>
          <w:vertAlign w:val="subscript"/>
        </w:rPr>
        <w:t>service</w:t>
      </w:r>
      <w:r w:rsidR="00A6468D">
        <w:t xml:space="preserve"> can be taken into account</w:t>
      </w:r>
      <w:r w:rsidR="00081ECE">
        <w:t xml:space="preserve"> </w:t>
      </w:r>
      <w:r w:rsidR="00DD06D7">
        <w:t xml:space="preserve">in the cell ranking criteria, preferably combined with a channel quality condition. </w:t>
      </w:r>
    </w:p>
    <w:p w14:paraId="3FF7E1E1" w14:textId="77777777" w:rsidR="00F72D8A" w:rsidRDefault="00F72D8A" w:rsidP="00F72D8A">
      <w:pPr>
        <w:pStyle w:val="BodyText"/>
      </w:pPr>
      <w:r>
        <w:rPr>
          <w:lang w:val="en-US"/>
        </w:rPr>
        <w:t>Another aspect is idle mode measurements.</w:t>
      </w:r>
      <w:r w:rsidRPr="00692F1D">
        <w:t xml:space="preserve"> </w:t>
      </w:r>
      <w:r>
        <w:t>In current  NR, the UE is expected to regularly perform RSRP/RSRQ measurements for cell reselection purposes in idle mode on inter-frequency and intra-frequency neighbouring cells. There is however a set of exceptions to these rules which are based on whether the signal strength/quality of the current cell is above certain thresholds, which is generally as below:</w:t>
      </w:r>
    </w:p>
    <w:p w14:paraId="23A14BBB" w14:textId="77777777" w:rsidR="00F72D8A" w:rsidRPr="00E57C65" w:rsidRDefault="00F72D8A" w:rsidP="00F72D8A">
      <w:pPr>
        <w:pStyle w:val="BodyText"/>
        <w:numPr>
          <w:ilvl w:val="0"/>
          <w:numId w:val="45"/>
        </w:numPr>
        <w:tabs>
          <w:tab w:val="left" w:pos="2552"/>
          <w:tab w:val="left" w:pos="3856"/>
          <w:tab w:val="left" w:pos="5216"/>
          <w:tab w:val="left" w:pos="6464"/>
          <w:tab w:val="left" w:pos="7768"/>
          <w:tab w:val="left" w:pos="9072"/>
          <w:tab w:val="left" w:pos="9639"/>
        </w:tabs>
        <w:spacing w:before="240" w:after="0" w:line="240" w:lineRule="auto"/>
      </w:pPr>
      <w:r w:rsidRPr="00E57C65">
        <w:t>the cell selection RX level value (related to RSRP measurem</w:t>
      </w:r>
      <w:r>
        <w:t>ents) Srxlev &gt; ThresholdP</w:t>
      </w:r>
    </w:p>
    <w:p w14:paraId="7DE31A59" w14:textId="77777777" w:rsidR="00F72D8A" w:rsidRDefault="00F72D8A" w:rsidP="00F72D8A">
      <w:pPr>
        <w:pStyle w:val="BodyText"/>
        <w:numPr>
          <w:ilvl w:val="0"/>
          <w:numId w:val="45"/>
        </w:numPr>
        <w:tabs>
          <w:tab w:val="left" w:pos="2552"/>
          <w:tab w:val="left" w:pos="3856"/>
          <w:tab w:val="left" w:pos="5216"/>
          <w:tab w:val="left" w:pos="6464"/>
          <w:tab w:val="left" w:pos="7768"/>
          <w:tab w:val="left" w:pos="9072"/>
          <w:tab w:val="left" w:pos="9639"/>
        </w:tabs>
        <w:spacing w:before="240" w:after="0" w:line="240" w:lineRule="auto"/>
      </w:pPr>
      <w:r w:rsidRPr="00E57C65">
        <w:t xml:space="preserve">the cell selection quality value (related to RSRQ measurements) Squal &gt; </w:t>
      </w:r>
      <w:r>
        <w:t>ThresholdQ</w:t>
      </w:r>
    </w:p>
    <w:p w14:paraId="0C76CB3C" w14:textId="77777777" w:rsidR="00F72D8A" w:rsidRDefault="00F72D8A" w:rsidP="00F72D8A">
      <w:pPr>
        <w:pStyle w:val="BodyText"/>
        <w:tabs>
          <w:tab w:val="left" w:pos="2552"/>
          <w:tab w:val="left" w:pos="3856"/>
          <w:tab w:val="left" w:pos="5216"/>
          <w:tab w:val="left" w:pos="6464"/>
          <w:tab w:val="left" w:pos="7768"/>
          <w:tab w:val="left" w:pos="9072"/>
          <w:tab w:val="left" w:pos="9639"/>
        </w:tabs>
        <w:spacing w:before="240" w:after="0" w:line="240" w:lineRule="auto"/>
      </w:pPr>
    </w:p>
    <w:p w14:paraId="445F7CDC" w14:textId="77777777" w:rsidR="00F72D8A" w:rsidRDefault="00F72D8A" w:rsidP="00F72D8A">
      <w:pPr>
        <w:pStyle w:val="BodyText"/>
      </w:pPr>
      <w:r>
        <w:t xml:space="preserve">If these are fulfilled the UE may choose not to perform intra-frequency, or inter-frequency, measurements whichever applies. The thresholds for RX level and quality value depend on whether the UE is measuring on inter or intra-frequency cells. For intra-frequency the RX level threshold is </w:t>
      </w:r>
      <w:r w:rsidRPr="00E57C65">
        <w:t>s-IntraSearchP</w:t>
      </w:r>
      <w:r>
        <w:t xml:space="preserve">, which ranges from 0 to 62 dB at the step size of 2 dB and the quality value threshold is s-IntraSearchQ range from 0 to 31 dB at the step size of 1 dB. For inter-frequency the RX level threshold is </w:t>
      </w:r>
      <w:r w:rsidRPr="00E57C65">
        <w:t>s-</w:t>
      </w:r>
      <w:r>
        <w:t>Non</w:t>
      </w:r>
      <w:r w:rsidRPr="00E57C65">
        <w:t>IntraSearchP</w:t>
      </w:r>
      <w:r>
        <w:t>, which ranges from 0 to 62 dB at the step size of 2 dB. The values of s-NonIntraSearchQ range from 0 to 31 dB at the step size of 1 dB.</w:t>
      </w:r>
    </w:p>
    <w:p w14:paraId="45154310" w14:textId="77777777" w:rsidR="00606979" w:rsidRDefault="00F72D8A" w:rsidP="00F72D8A">
      <w:pPr>
        <w:pStyle w:val="BodyText"/>
      </w:pPr>
      <w:r>
        <w:rPr>
          <w:lang w:val="en-US"/>
        </w:rPr>
        <w:t xml:space="preserve">As the RSRP levels are quite equal between cells in NTN, it is hard to control the idle mode measurements only by based on RSRP. If the </w:t>
      </w:r>
      <w:proofErr w:type="gramStart"/>
      <w:r>
        <w:rPr>
          <w:lang w:val="en-US"/>
        </w:rPr>
        <w:t>above mentioned</w:t>
      </w:r>
      <w:proofErr w:type="gramEnd"/>
      <w:r>
        <w:rPr>
          <w:lang w:val="en-US"/>
        </w:rPr>
        <w:t xml:space="preserve"> relaxations are not taken into account, UE needs to perform these measurements all the time, or UE may not trigger these measurements even if on the cell. </w:t>
      </w:r>
      <w:r w:rsidRPr="00286B3D">
        <w:t>In TR 38.821 this has been described that UE location can be taken into account in RRC_IDLE/RRC_INACTIVE mode procedures.</w:t>
      </w:r>
    </w:p>
    <w:p w14:paraId="427B68E0" w14:textId="4A4B25D9" w:rsidR="005C268C" w:rsidRDefault="005C268C" w:rsidP="00EA3CBF">
      <w:pPr>
        <w:pStyle w:val="BodyText"/>
      </w:pPr>
    </w:p>
    <w:p w14:paraId="76E62EB2" w14:textId="2A52EF61" w:rsidR="0023293B" w:rsidRDefault="0023293B" w:rsidP="0023293B">
      <w:pPr>
        <w:pStyle w:val="BodyText"/>
      </w:pPr>
      <w:r>
        <w:t xml:space="preserve">In </w:t>
      </w:r>
      <w:r>
        <w:fldChar w:fldCharType="begin"/>
      </w:r>
      <w:r>
        <w:instrText xml:space="preserve"> REF _Ref54011980 \r \h </w:instrText>
      </w:r>
      <w:r>
        <w:fldChar w:fldCharType="separate"/>
      </w:r>
      <w:r>
        <w:t>[7]</w:t>
      </w:r>
      <w:r>
        <w:fldChar w:fldCharType="end"/>
      </w:r>
      <w:r>
        <w:t xml:space="preserve">, we propose </w:t>
      </w:r>
      <w:r w:rsidRPr="00B65F0A">
        <w:rPr>
          <w:lang w:val="en-US"/>
        </w:rPr>
        <w:t>tak</w:t>
      </w:r>
      <w:r>
        <w:rPr>
          <w:lang w:val="en-US"/>
        </w:rPr>
        <w:t>ing</w:t>
      </w:r>
      <w:r w:rsidRPr="00B65F0A">
        <w:rPr>
          <w:lang w:val="en-US"/>
        </w:rPr>
        <w:t xml:space="preserve"> into account UE location </w:t>
      </w:r>
      <w:r>
        <w:rPr>
          <w:lang w:val="en-US"/>
        </w:rPr>
        <w:t>with respect to</w:t>
      </w:r>
      <w:r w:rsidRPr="00B65F0A">
        <w:rPr>
          <w:lang w:val="en-US"/>
        </w:rPr>
        <w:t xml:space="preserve"> reference cell center</w:t>
      </w:r>
      <w:r>
        <w:rPr>
          <w:lang w:val="en-US"/>
        </w:rPr>
        <w:t xml:space="preserve"> </w:t>
      </w:r>
      <w:r w:rsidR="00831B19">
        <w:rPr>
          <w:lang w:val="en-US"/>
        </w:rPr>
        <w:t xml:space="preserve">for cell selection/reselection as well as for measurement </w:t>
      </w:r>
      <w:r>
        <w:rPr>
          <w:lang w:val="en-US"/>
        </w:rPr>
        <w:t xml:space="preserve">as that paper </w:t>
      </w:r>
      <w:r w:rsidR="00831B19">
        <w:rPr>
          <w:lang w:val="en-US"/>
        </w:rPr>
        <w:t>concerns</w:t>
      </w:r>
      <w:r>
        <w:rPr>
          <w:lang w:val="en-US"/>
        </w:rPr>
        <w:t xml:space="preserve"> more </w:t>
      </w:r>
      <w:proofErr w:type="spellStart"/>
      <w:r>
        <w:rPr>
          <w:lang w:val="en-US"/>
        </w:rPr>
        <w:t>Scenarion</w:t>
      </w:r>
      <w:proofErr w:type="spellEnd"/>
      <w:r>
        <w:rPr>
          <w:lang w:val="en-US"/>
        </w:rPr>
        <w:t xml:space="preserve"> 4 and 5. For systems that experience also Scenarios 1 and 3, </w:t>
      </w:r>
      <w:r>
        <w:t>T</w:t>
      </w:r>
      <w:r>
        <w:rPr>
          <w:vertAlign w:val="subscript"/>
        </w:rPr>
        <w:t>service</w:t>
      </w:r>
      <w:r>
        <w:t xml:space="preserve"> can be criteria are combined with the UE location with respect to a reference cell center. </w:t>
      </w:r>
      <w:r w:rsidR="00DC03AA">
        <w:rPr>
          <w:lang w:val="en-US"/>
        </w:rPr>
        <w:t xml:space="preserve">For those scenarios, location and RSRP are not enough to trigger measurements for a UE that is in the center of the cell that is going to vanish. </w:t>
      </w:r>
      <w:r>
        <w:t>The reference cell center may be same as reference satellite beam center or it may be a center of a cell formed by several satellite beams. In the latter case, the cell center may be separately signaled to the UE by dedicated or broadcast RRC signaling or dedicated NAS signaling.</w:t>
      </w:r>
    </w:p>
    <w:p w14:paraId="7AADCDC0" w14:textId="77777777" w:rsidR="00387CB3" w:rsidRDefault="00387CB3" w:rsidP="00387CB3">
      <w:pPr>
        <w:pStyle w:val="BodyText"/>
      </w:pPr>
    </w:p>
    <w:p w14:paraId="78BB3DE6" w14:textId="77777777" w:rsidR="00387CB3" w:rsidRDefault="00387CB3" w:rsidP="00387CB3">
      <w:pPr>
        <w:pStyle w:val="Observation"/>
        <w:overflowPunct w:val="0"/>
        <w:autoSpaceDE w:val="0"/>
        <w:autoSpaceDN w:val="0"/>
        <w:adjustRightInd w:val="0"/>
        <w:spacing w:line="240" w:lineRule="auto"/>
        <w:textAlignment w:val="baseline"/>
        <w:rPr>
          <w:lang w:val="en-US"/>
        </w:rPr>
      </w:pPr>
      <w:bookmarkStart w:id="7" w:name="_Toc54336184"/>
      <w:r>
        <w:rPr>
          <w:lang w:val="en-US"/>
        </w:rPr>
        <w:t>For Scenarios1 and 3, the location and RSRP are not enough to trigger measurements for a UE that is in the center of the cell that is going to vanish</w:t>
      </w:r>
      <w:bookmarkEnd w:id="7"/>
    </w:p>
    <w:p w14:paraId="4242AA33" w14:textId="77777777" w:rsidR="00387CB3" w:rsidRDefault="00387CB3" w:rsidP="00387CB3">
      <w:pPr>
        <w:pStyle w:val="Proposal"/>
        <w:overflowPunct w:val="0"/>
        <w:autoSpaceDE w:val="0"/>
        <w:autoSpaceDN w:val="0"/>
        <w:adjustRightInd w:val="0"/>
        <w:spacing w:line="240" w:lineRule="auto"/>
        <w:textAlignment w:val="baseline"/>
        <w:rPr>
          <w:lang w:val="en-US"/>
        </w:rPr>
      </w:pPr>
      <w:bookmarkStart w:id="8" w:name="_Toc54336189"/>
      <w:r w:rsidRPr="00B65F0A">
        <w:rPr>
          <w:lang w:val="en-US"/>
        </w:rPr>
        <w:t xml:space="preserve">RAN2 </w:t>
      </w:r>
      <w:r>
        <w:rPr>
          <w:lang w:val="en-US"/>
        </w:rPr>
        <w:t xml:space="preserve">should </w:t>
      </w:r>
      <w:r w:rsidRPr="006203E0">
        <w:rPr>
          <w:lang w:val="en-US"/>
        </w:rPr>
        <w:t xml:space="preserve">consider taking the </w:t>
      </w:r>
      <w:proofErr w:type="spellStart"/>
      <w:r w:rsidRPr="00BE277C">
        <w:rPr>
          <w:lang w:val="en-US"/>
        </w:rPr>
        <w:t>Tservice</w:t>
      </w:r>
      <w:proofErr w:type="spellEnd"/>
      <w:r w:rsidRPr="00BE277C">
        <w:rPr>
          <w:lang w:val="en-US"/>
        </w:rPr>
        <w:t xml:space="preserve"> </w:t>
      </w:r>
      <w:r w:rsidRPr="006203E0">
        <w:rPr>
          <w:lang w:val="en-US"/>
        </w:rPr>
        <w:t>into account also for the idle mode measurement rules</w:t>
      </w:r>
      <w:r>
        <w:rPr>
          <w:lang w:val="en-US"/>
        </w:rPr>
        <w:t>.</w:t>
      </w:r>
      <w:bookmarkEnd w:id="8"/>
      <w:r w:rsidRPr="00B65F0A">
        <w:rPr>
          <w:lang w:val="en-US"/>
        </w:rPr>
        <w:t xml:space="preserve"> </w:t>
      </w:r>
    </w:p>
    <w:p w14:paraId="3365620D" w14:textId="77777777" w:rsidR="00411E1E" w:rsidRDefault="00411E1E" w:rsidP="00EA3CBF">
      <w:pPr>
        <w:pStyle w:val="BodyText"/>
      </w:pPr>
    </w:p>
    <w:p w14:paraId="5245F299" w14:textId="5F9A3DB0" w:rsidR="001A14BF" w:rsidRDefault="00C941F7" w:rsidP="0086218C">
      <w:pPr>
        <w:pStyle w:val="Heading1"/>
        <w:rPr>
          <w:lang w:val="en-US"/>
        </w:rPr>
      </w:pPr>
      <w:r>
        <w:rPr>
          <w:lang w:val="en-US"/>
        </w:rPr>
        <w:t xml:space="preserve">3 </w:t>
      </w:r>
      <w:r w:rsidR="007E3113" w:rsidRPr="00DB4E2C">
        <w:rPr>
          <w:lang w:val="en-US"/>
        </w:rPr>
        <w:t>Earth moving beams</w:t>
      </w:r>
    </w:p>
    <w:p w14:paraId="7C076EC8" w14:textId="771444C4" w:rsidR="00953899" w:rsidRDefault="00B4180B" w:rsidP="00B4180B">
      <w:pPr>
        <w:pStyle w:val="BodyText"/>
      </w:pPr>
      <w:r>
        <w:t xml:space="preserve">In </w:t>
      </w:r>
      <w:r w:rsidR="00953899">
        <w:t xml:space="preserve">the study item, both hard and soft switch has been considered. The hard switch means that each cell can broadcast only </w:t>
      </w:r>
      <w:r w:rsidR="00953899" w:rsidRPr="5B3DC748">
        <w:t>on</w:t>
      </w:r>
      <w:r w:rsidR="13E806B5" w:rsidRPr="5B3DC748">
        <w:t>e</w:t>
      </w:r>
      <w:r w:rsidR="00953899">
        <w:t xml:space="preserve"> tracking area code. When this is combined with Earth fixed tracking area, </w:t>
      </w:r>
      <w:r w:rsidR="00953899">
        <w:lastRenderedPageBreak/>
        <w:t xml:space="preserve">it will create fluctuation at the boarder areas of these Earth fixed tracking areas. This hard TAI update is depicted in Figure </w:t>
      </w:r>
      <w:r w:rsidR="002B0CD6">
        <w:t>4</w:t>
      </w:r>
      <w:r w:rsidR="00953899">
        <w:t>.</w:t>
      </w:r>
    </w:p>
    <w:p w14:paraId="4431F245" w14:textId="0CAFFCF1" w:rsidR="00953899" w:rsidRDefault="00953899" w:rsidP="00953899">
      <w:pPr>
        <w:keepNext/>
        <w:spacing w:before="120" w:after="120"/>
        <w:jc w:val="both"/>
      </w:pPr>
      <w:r>
        <w:rPr>
          <w:lang w:eastAsia="ja-JP"/>
        </w:rPr>
        <w:t xml:space="preserve"> </w:t>
      </w:r>
      <w:r>
        <w:rPr>
          <w:noProof/>
        </w:rPr>
        <w:drawing>
          <wp:inline distT="0" distB="0" distL="0" distR="0" wp14:anchorId="57330C6B" wp14:editId="40212927">
            <wp:extent cx="5697855" cy="2860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5697855" cy="2860675"/>
                    </a:xfrm>
                    <a:prstGeom prst="rect">
                      <a:avLst/>
                    </a:prstGeom>
                  </pic:spPr>
                </pic:pic>
              </a:graphicData>
            </a:graphic>
          </wp:inline>
        </w:drawing>
      </w:r>
    </w:p>
    <w:p w14:paraId="4B2809D2" w14:textId="62EBE79E" w:rsidR="00953899" w:rsidRDefault="00953899" w:rsidP="00953899">
      <w:pPr>
        <w:pStyle w:val="Caption"/>
        <w:jc w:val="both"/>
      </w:pPr>
      <w:r>
        <w:t xml:space="preserve">Figure </w:t>
      </w:r>
      <w:r w:rsidR="0019065F">
        <w:t>4</w:t>
      </w:r>
      <w:r>
        <w:t xml:space="preserve"> Tracking area update for Earth moving beams with hard TAI update</w:t>
      </w:r>
    </w:p>
    <w:p w14:paraId="48A5CDF9" w14:textId="11C43F2D" w:rsidR="00953899" w:rsidRPr="00515641" w:rsidRDefault="00953899" w:rsidP="00953899">
      <w:pPr>
        <w:spacing w:before="120" w:after="120"/>
        <w:jc w:val="both"/>
        <w:rPr>
          <w:rFonts w:ascii="Arial" w:hAnsi="Arial"/>
        </w:rPr>
      </w:pPr>
      <w:r w:rsidRPr="00515641">
        <w:rPr>
          <w:rFonts w:ascii="Arial" w:hAnsi="Arial"/>
        </w:rPr>
        <w:t>Soft TAI update requires the network to broadcast more than one TAI for a cell and PLMN</w:t>
      </w:r>
      <w:r w:rsidR="0019065F" w:rsidRPr="00515641">
        <w:rPr>
          <w:rFonts w:ascii="Arial" w:hAnsi="Arial"/>
        </w:rPr>
        <w:t xml:space="preserve"> and it is depicted in Figure 5</w:t>
      </w:r>
      <w:r w:rsidRPr="00515641">
        <w:rPr>
          <w:rFonts w:ascii="Arial" w:hAnsi="Arial"/>
        </w:rPr>
        <w:t xml:space="preserve">. </w:t>
      </w:r>
    </w:p>
    <w:p w14:paraId="1BDBA71F" w14:textId="77777777" w:rsidR="00953899" w:rsidRDefault="00953899" w:rsidP="00953899"/>
    <w:p w14:paraId="54A705AF" w14:textId="56875C47" w:rsidR="00953899" w:rsidRDefault="00953899" w:rsidP="00953899">
      <w:pPr>
        <w:keepNext/>
        <w:spacing w:before="120" w:after="120"/>
        <w:jc w:val="both"/>
      </w:pPr>
      <w:r>
        <w:rPr>
          <w:noProof/>
        </w:rPr>
        <w:drawing>
          <wp:inline distT="0" distB="0" distL="0" distR="0" wp14:anchorId="6E74B2A9" wp14:editId="541554DD">
            <wp:extent cx="5432423" cy="272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432423" cy="2727325"/>
                    </a:xfrm>
                    <a:prstGeom prst="rect">
                      <a:avLst/>
                    </a:prstGeom>
                  </pic:spPr>
                </pic:pic>
              </a:graphicData>
            </a:graphic>
          </wp:inline>
        </w:drawing>
      </w:r>
    </w:p>
    <w:p w14:paraId="2691F7F9" w14:textId="2CA61CCA" w:rsidR="00953899" w:rsidRDefault="00953899" w:rsidP="00953899">
      <w:pPr>
        <w:pStyle w:val="Caption"/>
        <w:jc w:val="both"/>
      </w:pPr>
      <w:r>
        <w:t xml:space="preserve">Figure </w:t>
      </w:r>
      <w:r w:rsidR="0019065F">
        <w:t>5</w:t>
      </w:r>
      <w:r>
        <w:t xml:space="preserve"> Tracking area update for Earth moving beams with soft TAI update</w:t>
      </w:r>
    </w:p>
    <w:p w14:paraId="679AAC7E" w14:textId="77777777" w:rsidR="00802A9B" w:rsidRDefault="00802A9B" w:rsidP="00802A9B">
      <w:pPr>
        <w:rPr>
          <w:lang w:eastAsia="en-GB"/>
        </w:rPr>
      </w:pPr>
    </w:p>
    <w:p w14:paraId="0913D120" w14:textId="5B675542" w:rsidR="00802A9B" w:rsidRPr="00515641" w:rsidRDefault="00802A9B" w:rsidP="00515641">
      <w:pPr>
        <w:spacing w:before="120" w:after="120"/>
        <w:jc w:val="both"/>
        <w:rPr>
          <w:rFonts w:ascii="Arial" w:hAnsi="Arial"/>
        </w:rPr>
      </w:pPr>
      <w:r w:rsidRPr="00515641">
        <w:rPr>
          <w:rFonts w:ascii="Arial" w:hAnsi="Arial"/>
        </w:rPr>
        <w:t>I</w:t>
      </w:r>
      <w:r w:rsidR="004166BB" w:rsidRPr="00515641">
        <w:rPr>
          <w:rFonts w:ascii="Arial" w:hAnsi="Arial"/>
        </w:rPr>
        <w:t>n</w:t>
      </w:r>
      <w:r w:rsidRPr="00515641">
        <w:rPr>
          <w:rFonts w:ascii="Arial" w:hAnsi="Arial"/>
        </w:rPr>
        <w:t xml:space="preserve"> the email</w:t>
      </w:r>
      <w:r w:rsidR="004166BB" w:rsidRPr="00515641">
        <w:rPr>
          <w:rFonts w:ascii="Arial" w:hAnsi="Arial"/>
        </w:rPr>
        <w:t xml:space="preserve"> discussion [910] </w:t>
      </w:r>
      <w:r w:rsidR="004166BB" w:rsidRPr="00515641">
        <w:rPr>
          <w:rFonts w:ascii="Arial" w:hAnsi="Arial"/>
        </w:rPr>
        <w:t>Impacts of earth fixed and moving</w:t>
      </w:r>
      <w:r w:rsidR="004166BB" w:rsidRPr="00515641">
        <w:rPr>
          <w:rFonts w:ascii="Arial" w:hAnsi="Arial"/>
        </w:rPr>
        <w:t xml:space="preserve">, the following </w:t>
      </w:r>
      <w:r w:rsidR="0064639C" w:rsidRPr="00515641">
        <w:rPr>
          <w:rFonts w:ascii="Arial" w:hAnsi="Arial"/>
        </w:rPr>
        <w:t>was</w:t>
      </w:r>
      <w:r w:rsidR="004166BB" w:rsidRPr="00515641">
        <w:rPr>
          <w:rFonts w:ascii="Arial" w:hAnsi="Arial"/>
        </w:rPr>
        <w:t xml:space="preserve"> </w:t>
      </w:r>
      <w:r w:rsidR="005600CD" w:rsidRPr="00515641">
        <w:rPr>
          <w:rFonts w:ascii="Arial" w:hAnsi="Arial"/>
        </w:rPr>
        <w:t>conlcuded:</w:t>
      </w:r>
    </w:p>
    <w:p w14:paraId="18486B92" w14:textId="23510606" w:rsidR="00802A9B" w:rsidRDefault="00D1232A" w:rsidP="005600CD">
      <w:pPr>
        <w:ind w:firstLine="567"/>
        <w:rPr>
          <w:i/>
          <w:iCs/>
          <w:lang w:eastAsia="en-GB"/>
        </w:rPr>
      </w:pPr>
      <w:r w:rsidRPr="005600CD">
        <w:rPr>
          <w:i/>
          <w:iCs/>
          <w:lang w:eastAsia="en-GB"/>
        </w:rPr>
        <w:t>Proposal 11 RAN2 to prioritize discussing soft TAI update</w:t>
      </w:r>
    </w:p>
    <w:p w14:paraId="3E9399B5" w14:textId="6420C4A5" w:rsidR="00515641" w:rsidRDefault="00FE7DF8" w:rsidP="00515641">
      <w:pPr>
        <w:spacing w:before="120" w:after="120"/>
        <w:jc w:val="both"/>
        <w:rPr>
          <w:rFonts w:ascii="Arial" w:hAnsi="Arial"/>
        </w:rPr>
      </w:pPr>
      <w:r>
        <w:rPr>
          <w:rFonts w:ascii="Arial" w:hAnsi="Arial"/>
        </w:rPr>
        <w:lastRenderedPageBreak/>
        <w:t xml:space="preserve">The details on how UE performs the TAU update in the case of </w:t>
      </w:r>
      <w:r w:rsidR="00A33D08">
        <w:rPr>
          <w:rFonts w:ascii="Arial" w:hAnsi="Arial"/>
        </w:rPr>
        <w:t xml:space="preserve">soft TAI update should be discussed. </w:t>
      </w:r>
      <w:r w:rsidR="00465A9A">
        <w:rPr>
          <w:rFonts w:ascii="Arial" w:hAnsi="Arial"/>
        </w:rPr>
        <w:t>In the simplest option</w:t>
      </w:r>
      <w:r w:rsidR="005E46BA">
        <w:rPr>
          <w:rFonts w:ascii="Arial" w:hAnsi="Arial"/>
        </w:rPr>
        <w:t>, e</w:t>
      </w:r>
      <w:r w:rsidR="00515641" w:rsidRPr="00515641">
        <w:rPr>
          <w:rFonts w:ascii="Arial" w:hAnsi="Arial"/>
        </w:rPr>
        <w:t>ach time the UE encounters a new TAI, the UE performs a registration update/tracking area update once so that the AMF/MME adds the newly registered TAI to the TAI List.</w:t>
      </w:r>
      <w:r w:rsidR="005E46BA">
        <w:rPr>
          <w:rFonts w:ascii="Arial" w:hAnsi="Arial"/>
        </w:rPr>
        <w:t xml:space="preserve"> </w:t>
      </w:r>
      <w:r w:rsidR="004D74E6">
        <w:rPr>
          <w:rFonts w:ascii="Arial" w:hAnsi="Arial"/>
        </w:rPr>
        <w:t xml:space="preserve">However, it may be that the same cell is still </w:t>
      </w:r>
      <w:r w:rsidR="0066690B">
        <w:rPr>
          <w:rFonts w:ascii="Arial" w:hAnsi="Arial"/>
        </w:rPr>
        <w:t>broadcasting at least one TAI that is in the UEs TAI list. Thus, updating every time new TAI is broadcasted might not be the most effcient option. With thi</w:t>
      </w:r>
      <w:r w:rsidR="00B7120B">
        <w:rPr>
          <w:rFonts w:ascii="Arial" w:hAnsi="Arial"/>
        </w:rPr>
        <w:t>s</w:t>
      </w:r>
      <w:r w:rsidR="0066690B">
        <w:rPr>
          <w:rFonts w:ascii="Arial" w:hAnsi="Arial"/>
        </w:rPr>
        <w:t>, it would also cause several UEs to perform TAU simultanously</w:t>
      </w:r>
      <w:r w:rsidR="004276CE">
        <w:rPr>
          <w:rFonts w:ascii="Arial" w:hAnsi="Arial"/>
        </w:rPr>
        <w:t xml:space="preserve">. This can be alleviated by </w:t>
      </w:r>
      <w:r w:rsidR="006822E8">
        <w:rPr>
          <w:rFonts w:ascii="Arial" w:hAnsi="Arial"/>
        </w:rPr>
        <w:t>assuming that when the new TAI is read, UE does not immediately perform TAU but is prepared to do so</w:t>
      </w:r>
      <w:r w:rsidR="00DD415D">
        <w:rPr>
          <w:rFonts w:ascii="Arial" w:hAnsi="Arial"/>
        </w:rPr>
        <w:t>. It has also been discussed that t</w:t>
      </w:r>
      <w:r w:rsidR="00515641" w:rsidRPr="00515641">
        <w:rPr>
          <w:rFonts w:ascii="Arial" w:hAnsi="Arial"/>
        </w:rPr>
        <w:t>he TAI1 and TAI2 may be associated with validity times</w:t>
      </w:r>
      <w:r w:rsidR="00DD415D">
        <w:rPr>
          <w:rFonts w:ascii="Arial" w:hAnsi="Arial"/>
        </w:rPr>
        <w:t>.</w:t>
      </w:r>
      <w:r w:rsidR="00515641" w:rsidRPr="00515641">
        <w:rPr>
          <w:rFonts w:ascii="Arial" w:hAnsi="Arial"/>
        </w:rPr>
        <w:t xml:space="preserve"> </w:t>
      </w:r>
      <w:r w:rsidR="008E02E0">
        <w:rPr>
          <w:rFonts w:ascii="Arial" w:hAnsi="Arial"/>
        </w:rPr>
        <w:t xml:space="preserve">IN this case </w:t>
      </w:r>
      <w:r w:rsidR="00515641" w:rsidRPr="00515641">
        <w:rPr>
          <w:rFonts w:ascii="Arial" w:hAnsi="Arial"/>
        </w:rPr>
        <w:t>the UE knows when it needs to latest make the registration area update</w:t>
      </w:r>
      <w:r w:rsidR="008E02E0">
        <w:rPr>
          <w:rFonts w:ascii="Arial" w:hAnsi="Arial"/>
        </w:rPr>
        <w:t>.</w:t>
      </w:r>
      <w:r w:rsidR="00515641" w:rsidRPr="00515641">
        <w:rPr>
          <w:rFonts w:ascii="Arial" w:hAnsi="Arial"/>
        </w:rPr>
        <w:t xml:space="preserve"> </w:t>
      </w:r>
    </w:p>
    <w:p w14:paraId="3D74FA5B" w14:textId="77777777" w:rsidR="002541D1" w:rsidRDefault="002541D1" w:rsidP="002541D1">
      <w:pPr>
        <w:pStyle w:val="BodyText"/>
      </w:pPr>
    </w:p>
    <w:p w14:paraId="4BB55A96" w14:textId="7B25D0EF" w:rsidR="002541D1" w:rsidRDefault="00B7120B" w:rsidP="002541D1">
      <w:pPr>
        <w:pStyle w:val="Observation"/>
        <w:overflowPunct w:val="0"/>
        <w:autoSpaceDE w:val="0"/>
        <w:autoSpaceDN w:val="0"/>
        <w:adjustRightInd w:val="0"/>
        <w:spacing w:line="240" w:lineRule="auto"/>
        <w:textAlignment w:val="baseline"/>
        <w:rPr>
          <w:lang w:val="en-US"/>
        </w:rPr>
      </w:pPr>
      <w:bookmarkStart w:id="9" w:name="_Toc54336185"/>
      <w:r>
        <w:rPr>
          <w:lang w:val="en-US"/>
        </w:rPr>
        <w:t>If UEs perform TAU immediately when they read new TAI in the SI</w:t>
      </w:r>
      <w:r w:rsidR="00991D6A">
        <w:rPr>
          <w:lang w:val="en-US"/>
        </w:rPr>
        <w:t xml:space="preserve">, it </w:t>
      </w:r>
      <w:r>
        <w:t>cause</w:t>
      </w:r>
      <w:r w:rsidR="00991D6A">
        <w:t>s</w:t>
      </w:r>
      <w:r>
        <w:t xml:space="preserve"> several UEs to perform TAU simultanously</w:t>
      </w:r>
      <w:r w:rsidR="00991D6A">
        <w:t>.</w:t>
      </w:r>
      <w:bookmarkEnd w:id="9"/>
    </w:p>
    <w:p w14:paraId="07610B0E" w14:textId="3FD0B757" w:rsidR="002541D1" w:rsidRDefault="002541D1" w:rsidP="002541D1">
      <w:pPr>
        <w:pStyle w:val="Proposal"/>
        <w:overflowPunct w:val="0"/>
        <w:autoSpaceDE w:val="0"/>
        <w:autoSpaceDN w:val="0"/>
        <w:adjustRightInd w:val="0"/>
        <w:spacing w:line="240" w:lineRule="auto"/>
        <w:textAlignment w:val="baseline"/>
        <w:rPr>
          <w:lang w:val="en-US"/>
        </w:rPr>
      </w:pPr>
      <w:bookmarkStart w:id="10" w:name="_Toc54336190"/>
      <w:r w:rsidRPr="00B65F0A">
        <w:rPr>
          <w:lang w:val="en-US"/>
        </w:rPr>
        <w:t xml:space="preserve">RAN2 </w:t>
      </w:r>
      <w:r>
        <w:rPr>
          <w:lang w:val="en-US"/>
        </w:rPr>
        <w:t xml:space="preserve">should </w:t>
      </w:r>
      <w:r w:rsidRPr="006203E0">
        <w:rPr>
          <w:lang w:val="en-US"/>
        </w:rPr>
        <w:t xml:space="preserve">consider </w:t>
      </w:r>
      <w:r w:rsidR="00991D6A">
        <w:rPr>
          <w:lang w:val="en-US"/>
        </w:rPr>
        <w:t>the use of validity timers related to TAIs such that UEs may distribute when TAU is performed.</w:t>
      </w:r>
      <w:bookmarkEnd w:id="10"/>
    </w:p>
    <w:p w14:paraId="1BB5B8BC" w14:textId="77777777" w:rsidR="002541D1" w:rsidRPr="00515641" w:rsidRDefault="002541D1" w:rsidP="00515641">
      <w:pPr>
        <w:spacing w:before="120" w:after="120"/>
        <w:jc w:val="both"/>
        <w:rPr>
          <w:rFonts w:ascii="Arial" w:hAnsi="Arial"/>
        </w:rPr>
      </w:pPr>
    </w:p>
    <w:p w14:paraId="6FD96FB9" w14:textId="3F7C9BA1" w:rsidR="005600CD" w:rsidRPr="00515641" w:rsidRDefault="00515641" w:rsidP="00515641">
      <w:pPr>
        <w:spacing w:before="120" w:after="120"/>
        <w:jc w:val="both"/>
        <w:rPr>
          <w:rFonts w:ascii="Arial" w:hAnsi="Arial"/>
        </w:rPr>
      </w:pPr>
      <w:r w:rsidRPr="00515641">
        <w:rPr>
          <w:rFonts w:ascii="Arial" w:hAnsi="Arial"/>
        </w:rPr>
        <w:t>With moving cells combined with geographically fixed TAs, the TAI(s) broadcast in a cell’s system information will change rather frequently. In addition, the times when the TAIs should change are tied to the cell’s current location in relation to the geographically fixed TAs. This is a bad match with the existing rules and mechanisms for updating of the system information, which stipulates that updates can only be executed at the borders between system information modification periods and an upcoming change should be announced using “Short Messages” (with the systemInfoModification parameter set to 1) in DCIs addressed to the P-RNTI on the PDCCH during the system information modification period preceding the update. The particularly problematic aspect is that the points in time when the TAI should be changed might not coincide well with system information modification period borders. In addition, there will be quite frequent system information updates, which increases the control signaling load and forces the UEs to retrieve the updated system information more often than otherwise would have been needed.</w:t>
      </w:r>
    </w:p>
    <w:p w14:paraId="30F1D468" w14:textId="77777777" w:rsidR="002541D1" w:rsidRDefault="002541D1" w:rsidP="002541D1">
      <w:pPr>
        <w:pStyle w:val="BodyText"/>
      </w:pPr>
    </w:p>
    <w:p w14:paraId="486E55B9" w14:textId="3D309BD6" w:rsidR="002541D1" w:rsidRDefault="0026601C" w:rsidP="002541D1">
      <w:pPr>
        <w:pStyle w:val="Observation"/>
        <w:overflowPunct w:val="0"/>
        <w:autoSpaceDE w:val="0"/>
        <w:autoSpaceDN w:val="0"/>
        <w:adjustRightInd w:val="0"/>
        <w:spacing w:line="240" w:lineRule="auto"/>
        <w:textAlignment w:val="baseline"/>
        <w:rPr>
          <w:lang w:val="en-US"/>
        </w:rPr>
      </w:pPr>
      <w:bookmarkStart w:id="11" w:name="_Toc54336186"/>
      <w:r>
        <w:rPr>
          <w:lang w:val="en-US"/>
        </w:rPr>
        <w:t>W</w:t>
      </w:r>
      <w:r w:rsidR="00C4668A" w:rsidRPr="00515641">
        <w:rPr>
          <w:lang w:eastAsia="en-US"/>
        </w:rPr>
        <w:t>hen the TAI should be changed might not coincide well with system information modification period borders</w:t>
      </w:r>
      <w:r>
        <w:rPr>
          <w:lang w:val="en-US"/>
        </w:rPr>
        <w:t>.</w:t>
      </w:r>
      <w:r w:rsidR="001E5D91">
        <w:rPr>
          <w:lang w:val="en-US"/>
        </w:rPr>
        <w:t xml:space="preserve"> </w:t>
      </w:r>
      <w:r w:rsidR="001E5D91">
        <w:rPr>
          <w:lang w:val="en-US"/>
        </w:rPr>
        <w:t>Note that this issue is common to soft and hard TAI.</w:t>
      </w:r>
      <w:bookmarkEnd w:id="11"/>
    </w:p>
    <w:p w14:paraId="4BDB8009" w14:textId="4DE3CF1B" w:rsidR="002541D1" w:rsidRDefault="002541D1" w:rsidP="002541D1">
      <w:pPr>
        <w:pStyle w:val="Proposal"/>
        <w:overflowPunct w:val="0"/>
        <w:autoSpaceDE w:val="0"/>
        <w:autoSpaceDN w:val="0"/>
        <w:adjustRightInd w:val="0"/>
        <w:spacing w:line="240" w:lineRule="auto"/>
        <w:textAlignment w:val="baseline"/>
        <w:rPr>
          <w:lang w:val="en-US"/>
        </w:rPr>
      </w:pPr>
      <w:bookmarkStart w:id="12" w:name="_Toc54336191"/>
      <w:r w:rsidRPr="00B65F0A">
        <w:rPr>
          <w:lang w:val="en-US"/>
        </w:rPr>
        <w:t xml:space="preserve">RAN2 </w:t>
      </w:r>
      <w:r w:rsidR="001B6DC4">
        <w:rPr>
          <w:lang w:val="en-US"/>
        </w:rPr>
        <w:t xml:space="preserve">to discuss how </w:t>
      </w:r>
      <w:r w:rsidR="00A615D4">
        <w:rPr>
          <w:lang w:val="en-US"/>
        </w:rPr>
        <w:t>to solve the issue of updating TAI at certain time which may not match SI modification period borders</w:t>
      </w:r>
      <w:r>
        <w:rPr>
          <w:lang w:val="en-US"/>
        </w:rPr>
        <w:t>.</w:t>
      </w:r>
      <w:bookmarkEnd w:id="12"/>
      <w:r w:rsidR="00A615D4">
        <w:rPr>
          <w:lang w:val="en-US"/>
        </w:rPr>
        <w:t xml:space="preserve"> </w:t>
      </w:r>
    </w:p>
    <w:p w14:paraId="09AFA418" w14:textId="77777777" w:rsidR="005600CD" w:rsidRPr="005600CD" w:rsidRDefault="005600CD" w:rsidP="005600CD">
      <w:pPr>
        <w:rPr>
          <w:lang w:eastAsia="en-GB"/>
        </w:rPr>
      </w:pPr>
    </w:p>
    <w:bookmarkEnd w:id="1"/>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6E206CA4" w14:textId="77777777" w:rsidR="00355DAD"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54336182" w:history="1">
        <w:r w:rsidR="00355DAD" w:rsidRPr="009F7452">
          <w:rPr>
            <w:rStyle w:val="Hyperlink"/>
            <w:noProof/>
            <w:lang w:val="en-US"/>
          </w:rPr>
          <w:t>Observation 1</w:t>
        </w:r>
        <w:r w:rsidR="00355DAD">
          <w:rPr>
            <w:rFonts w:asciiTheme="minorHAnsi" w:eastAsiaTheme="minorEastAsia" w:hAnsiTheme="minorHAnsi"/>
            <w:b w:val="0"/>
            <w:noProof/>
            <w:lang w:eastAsia="fi-FI"/>
          </w:rPr>
          <w:tab/>
        </w:r>
        <w:r w:rsidR="00355DAD" w:rsidRPr="009F7452">
          <w:rPr>
            <w:rStyle w:val="Hyperlink"/>
            <w:noProof/>
            <w:lang w:val="en-US"/>
          </w:rPr>
          <w:t xml:space="preserve">A </w:t>
        </w:r>
        <w:r w:rsidR="00355DAD" w:rsidRPr="009F7452">
          <w:rPr>
            <w:rStyle w:val="Hyperlink"/>
            <w:noProof/>
          </w:rPr>
          <w:t>relevant and common aspect for Scenarios 1 and 3 is that one cell/PCI is going to stop serving an area at a certain time.</w:t>
        </w:r>
      </w:hyperlink>
    </w:p>
    <w:p w14:paraId="6CF4CECE"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83" w:history="1">
        <w:r w:rsidRPr="009F7452">
          <w:rPr>
            <w:rStyle w:val="Hyperlink"/>
            <w:noProof/>
            <w:lang w:val="en-US"/>
          </w:rPr>
          <w:t>Observation 2</w:t>
        </w:r>
        <w:r>
          <w:rPr>
            <w:rFonts w:asciiTheme="minorHAnsi" w:eastAsiaTheme="minorEastAsia" w:hAnsiTheme="minorHAnsi"/>
            <w:b w:val="0"/>
            <w:noProof/>
            <w:lang w:eastAsia="fi-FI"/>
          </w:rPr>
          <w:tab/>
        </w:r>
        <w:r w:rsidRPr="009F7452">
          <w:rPr>
            <w:rStyle w:val="Hyperlink"/>
            <w:noProof/>
          </w:rPr>
          <w:t>The remaining time T</w:t>
        </w:r>
        <w:r w:rsidRPr="009F7452">
          <w:rPr>
            <w:rStyle w:val="Hyperlink"/>
            <w:noProof/>
            <w:vertAlign w:val="subscript"/>
          </w:rPr>
          <w:t>service</w:t>
        </w:r>
        <w:r w:rsidRPr="009F7452">
          <w:rPr>
            <w:rStyle w:val="Hyperlink"/>
            <w:noProof/>
          </w:rPr>
          <w:t xml:space="preserve"> until the cell/PCI is going to stop serving an area can be defined.</w:t>
        </w:r>
      </w:hyperlink>
    </w:p>
    <w:p w14:paraId="06AE9F2A"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84" w:history="1">
        <w:r w:rsidRPr="009F7452">
          <w:rPr>
            <w:rStyle w:val="Hyperlink"/>
            <w:noProof/>
            <w:lang w:val="en-US"/>
          </w:rPr>
          <w:t>Observation 3</w:t>
        </w:r>
        <w:r>
          <w:rPr>
            <w:rFonts w:asciiTheme="minorHAnsi" w:eastAsiaTheme="minorEastAsia" w:hAnsiTheme="minorHAnsi"/>
            <w:b w:val="0"/>
            <w:noProof/>
            <w:lang w:eastAsia="fi-FI"/>
          </w:rPr>
          <w:tab/>
        </w:r>
        <w:r w:rsidRPr="009F7452">
          <w:rPr>
            <w:rStyle w:val="Hyperlink"/>
            <w:noProof/>
            <w:lang w:val="en-US"/>
          </w:rPr>
          <w:t>For Scenarios1 and 3, the location and RSRP are not enough to trigger measurements for a UE that is in the center of the cell that is going to vanish</w:t>
        </w:r>
      </w:hyperlink>
    </w:p>
    <w:p w14:paraId="741CB824"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85" w:history="1">
        <w:r w:rsidRPr="009F7452">
          <w:rPr>
            <w:rStyle w:val="Hyperlink"/>
            <w:noProof/>
            <w:lang w:val="en-US"/>
          </w:rPr>
          <w:t>Observation 4</w:t>
        </w:r>
        <w:r>
          <w:rPr>
            <w:rFonts w:asciiTheme="minorHAnsi" w:eastAsiaTheme="minorEastAsia" w:hAnsiTheme="minorHAnsi"/>
            <w:b w:val="0"/>
            <w:noProof/>
            <w:lang w:eastAsia="fi-FI"/>
          </w:rPr>
          <w:tab/>
        </w:r>
        <w:r w:rsidRPr="009F7452">
          <w:rPr>
            <w:rStyle w:val="Hyperlink"/>
            <w:noProof/>
            <w:lang w:val="en-US"/>
          </w:rPr>
          <w:t xml:space="preserve">If UEs perform TAU immediately when they read new TAI in the SI, it </w:t>
        </w:r>
        <w:r w:rsidRPr="009F7452">
          <w:rPr>
            <w:rStyle w:val="Hyperlink"/>
            <w:noProof/>
          </w:rPr>
          <w:t>causes several UEs to perform TAU simultanously.</w:t>
        </w:r>
      </w:hyperlink>
    </w:p>
    <w:p w14:paraId="0CD12B87"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86" w:history="1">
        <w:r w:rsidRPr="009F7452">
          <w:rPr>
            <w:rStyle w:val="Hyperlink"/>
            <w:noProof/>
            <w:lang w:val="en-US"/>
          </w:rPr>
          <w:t>Observation 5</w:t>
        </w:r>
        <w:r>
          <w:rPr>
            <w:rFonts w:asciiTheme="minorHAnsi" w:eastAsiaTheme="minorEastAsia" w:hAnsiTheme="minorHAnsi"/>
            <w:b w:val="0"/>
            <w:noProof/>
            <w:lang w:eastAsia="fi-FI"/>
          </w:rPr>
          <w:tab/>
        </w:r>
        <w:r w:rsidRPr="009F7452">
          <w:rPr>
            <w:rStyle w:val="Hyperlink"/>
            <w:noProof/>
            <w:lang w:val="en-US"/>
          </w:rPr>
          <w:t>W</w:t>
        </w:r>
        <w:r w:rsidRPr="009F7452">
          <w:rPr>
            <w:rStyle w:val="Hyperlink"/>
            <w:noProof/>
          </w:rPr>
          <w:t>hen the TAI should be changed might not coincide well with system information modification period borders</w:t>
        </w:r>
        <w:r w:rsidRPr="009F7452">
          <w:rPr>
            <w:rStyle w:val="Hyperlink"/>
            <w:noProof/>
            <w:lang w:val="en-US"/>
          </w:rPr>
          <w:t>. Note that this issue is common to soft and hard TAI.</w:t>
        </w:r>
      </w:hyperlink>
    </w:p>
    <w:p w14:paraId="3A82D5E6" w14:textId="4F7F83A1"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1B5DAA7E" w14:textId="77777777" w:rsidR="00355DAD"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54336187" w:history="1">
        <w:r w:rsidR="00355DAD" w:rsidRPr="00805997">
          <w:rPr>
            <w:rStyle w:val="Hyperlink"/>
            <w:noProof/>
            <w:lang w:val="en-US"/>
          </w:rPr>
          <w:t>Proposal 1</w:t>
        </w:r>
        <w:r w:rsidR="00355DAD">
          <w:rPr>
            <w:rFonts w:asciiTheme="minorHAnsi" w:eastAsiaTheme="minorEastAsia" w:hAnsiTheme="minorHAnsi"/>
            <w:b w:val="0"/>
            <w:noProof/>
            <w:lang w:eastAsia="fi-FI"/>
          </w:rPr>
          <w:tab/>
        </w:r>
        <w:r w:rsidR="00355DAD" w:rsidRPr="00805997">
          <w:rPr>
            <w:rStyle w:val="Hyperlink"/>
            <w:noProof/>
            <w:lang w:val="en-US"/>
          </w:rPr>
          <w:t xml:space="preserve">RAN2 to </w:t>
        </w:r>
        <w:r w:rsidR="00355DAD" w:rsidRPr="00805997">
          <w:rPr>
            <w:rStyle w:val="Hyperlink"/>
            <w:noProof/>
          </w:rPr>
          <w:t>discuss the relevance of the T</w:t>
        </w:r>
        <w:r w:rsidR="00355DAD" w:rsidRPr="00805997">
          <w:rPr>
            <w:rStyle w:val="Hyperlink"/>
            <w:noProof/>
            <w:vertAlign w:val="subscript"/>
          </w:rPr>
          <w:t>service</w:t>
        </w:r>
        <w:r w:rsidR="00355DAD" w:rsidRPr="00805997">
          <w:rPr>
            <w:rStyle w:val="Hyperlink"/>
            <w:noProof/>
          </w:rPr>
          <w:t xml:space="preserve"> with respect to connected and idle mode mobility procedures</w:t>
        </w:r>
        <w:r w:rsidR="00355DAD" w:rsidRPr="00805997">
          <w:rPr>
            <w:rStyle w:val="Hyperlink"/>
            <w:noProof/>
            <w:lang w:val="en-US"/>
          </w:rPr>
          <w:t>.</w:t>
        </w:r>
      </w:hyperlink>
    </w:p>
    <w:p w14:paraId="7362602A"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88" w:history="1">
        <w:r w:rsidRPr="00805997">
          <w:rPr>
            <w:rStyle w:val="Hyperlink"/>
            <w:noProof/>
            <w:lang w:val="en-US"/>
          </w:rPr>
          <w:t>Proposal 2</w:t>
        </w:r>
        <w:r>
          <w:rPr>
            <w:rFonts w:asciiTheme="minorHAnsi" w:eastAsiaTheme="minorEastAsia" w:hAnsiTheme="minorHAnsi"/>
            <w:b w:val="0"/>
            <w:noProof/>
            <w:lang w:eastAsia="fi-FI"/>
          </w:rPr>
          <w:tab/>
        </w:r>
        <w:r w:rsidRPr="00805997">
          <w:rPr>
            <w:rStyle w:val="Hyperlink"/>
            <w:noProof/>
            <w:lang w:val="en-US"/>
          </w:rPr>
          <w:t xml:space="preserve">RAN2 to agree that </w:t>
        </w:r>
        <w:r w:rsidRPr="00805997">
          <w:rPr>
            <w:rStyle w:val="Hyperlink"/>
            <w:noProof/>
          </w:rPr>
          <w:t>T</w:t>
        </w:r>
        <w:r w:rsidRPr="00805997">
          <w:rPr>
            <w:rStyle w:val="Hyperlink"/>
            <w:noProof/>
            <w:vertAlign w:val="subscript"/>
          </w:rPr>
          <w:t>service</w:t>
        </w:r>
        <w:r w:rsidRPr="00805997">
          <w:rPr>
            <w:rStyle w:val="Hyperlink"/>
            <w:noProof/>
          </w:rPr>
          <w:t xml:space="preserve"> can be provided along with the parameters provided for conditional handover</w:t>
        </w:r>
        <w:r w:rsidRPr="00805997">
          <w:rPr>
            <w:rStyle w:val="Hyperlink"/>
            <w:noProof/>
            <w:lang w:val="en-US"/>
          </w:rPr>
          <w:t>.</w:t>
        </w:r>
      </w:hyperlink>
    </w:p>
    <w:p w14:paraId="20101489"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89" w:history="1">
        <w:r w:rsidRPr="00805997">
          <w:rPr>
            <w:rStyle w:val="Hyperlink"/>
            <w:noProof/>
            <w:lang w:val="en-US"/>
          </w:rPr>
          <w:t>Proposal 3</w:t>
        </w:r>
        <w:r>
          <w:rPr>
            <w:rFonts w:asciiTheme="minorHAnsi" w:eastAsiaTheme="minorEastAsia" w:hAnsiTheme="minorHAnsi"/>
            <w:b w:val="0"/>
            <w:noProof/>
            <w:lang w:eastAsia="fi-FI"/>
          </w:rPr>
          <w:tab/>
        </w:r>
        <w:r w:rsidRPr="00805997">
          <w:rPr>
            <w:rStyle w:val="Hyperlink"/>
            <w:noProof/>
            <w:lang w:val="en-US"/>
          </w:rPr>
          <w:t>RAN2 should consider taking the Tservice into account also for the idle mode measurement rules.</w:t>
        </w:r>
      </w:hyperlink>
    </w:p>
    <w:p w14:paraId="23F08731"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90" w:history="1">
        <w:r w:rsidRPr="00805997">
          <w:rPr>
            <w:rStyle w:val="Hyperlink"/>
            <w:noProof/>
            <w:lang w:val="en-US"/>
          </w:rPr>
          <w:t>Proposal 4</w:t>
        </w:r>
        <w:r>
          <w:rPr>
            <w:rFonts w:asciiTheme="minorHAnsi" w:eastAsiaTheme="minorEastAsia" w:hAnsiTheme="minorHAnsi"/>
            <w:b w:val="0"/>
            <w:noProof/>
            <w:lang w:eastAsia="fi-FI"/>
          </w:rPr>
          <w:tab/>
        </w:r>
        <w:r w:rsidRPr="00805997">
          <w:rPr>
            <w:rStyle w:val="Hyperlink"/>
            <w:noProof/>
            <w:lang w:val="en-US"/>
          </w:rPr>
          <w:t>RAN2 should consider the use of validity timers related to TAIs such that UEs may distribute when TAU is performed.</w:t>
        </w:r>
      </w:hyperlink>
    </w:p>
    <w:p w14:paraId="5D7F17D9" w14:textId="77777777" w:rsidR="00355DAD" w:rsidRDefault="00355DAD">
      <w:pPr>
        <w:pStyle w:val="TableofFigures"/>
        <w:tabs>
          <w:tab w:val="right" w:leader="dot" w:pos="9629"/>
        </w:tabs>
        <w:rPr>
          <w:rFonts w:asciiTheme="minorHAnsi" w:eastAsiaTheme="minorEastAsia" w:hAnsiTheme="minorHAnsi"/>
          <w:b w:val="0"/>
          <w:noProof/>
          <w:lang w:eastAsia="fi-FI"/>
        </w:rPr>
      </w:pPr>
      <w:hyperlink w:anchor="_Toc54336191" w:history="1">
        <w:r w:rsidRPr="00805997">
          <w:rPr>
            <w:rStyle w:val="Hyperlink"/>
            <w:noProof/>
            <w:lang w:val="en-US"/>
          </w:rPr>
          <w:t>Proposal 5</w:t>
        </w:r>
        <w:r>
          <w:rPr>
            <w:rFonts w:asciiTheme="minorHAnsi" w:eastAsiaTheme="minorEastAsia" w:hAnsiTheme="minorHAnsi"/>
            <w:b w:val="0"/>
            <w:noProof/>
            <w:lang w:eastAsia="fi-FI"/>
          </w:rPr>
          <w:tab/>
        </w:r>
        <w:r w:rsidRPr="00805997">
          <w:rPr>
            <w:rStyle w:val="Hyperlink"/>
            <w:noProof/>
            <w:lang w:val="en-US"/>
          </w:rPr>
          <w:t>RAN2 to discuss how to solve the issue of updating TAI at certain time which may not match SI modification period borders.</w:t>
        </w:r>
      </w:hyperlink>
    </w:p>
    <w:p w14:paraId="26EBCCF9" w14:textId="6FC2D0BF"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3" w:name="_In-sequence_SDU_delivery"/>
      <w:bookmarkEnd w:id="13"/>
      <w:r w:rsidRPr="00A4369A">
        <w:rPr>
          <w:lang w:val="en-US"/>
        </w:rPr>
        <w:t>References</w:t>
      </w:r>
    </w:p>
    <w:p w14:paraId="03BE2943" w14:textId="46612451" w:rsidR="003A7EF3" w:rsidRPr="000D1F6D" w:rsidRDefault="002A2A3F" w:rsidP="00CE0424">
      <w:pPr>
        <w:pStyle w:val="Reference"/>
        <w:rPr>
          <w:lang w:val="en-US"/>
        </w:rPr>
      </w:pPr>
      <w:bookmarkStart w:id="14" w:name="_Ref42716514"/>
      <w:bookmarkStart w:id="15" w:name="_Ref45286859"/>
      <w:bookmarkStart w:id="16" w:name="_Ref174151459"/>
      <w:bookmarkStart w:id="17"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4"/>
      <w:r w:rsidR="0015455E" w:rsidRPr="000D1F6D">
        <w:rPr>
          <w:lang w:val="en-US"/>
        </w:rPr>
        <w:t>20</w:t>
      </w:r>
      <w:r w:rsidR="004D4967" w:rsidRPr="000D1F6D">
        <w:rPr>
          <w:lang w:val="en-US"/>
        </w:rPr>
        <w:t>.</w:t>
      </w:r>
      <w:bookmarkEnd w:id="15"/>
      <w:bookmarkEnd w:id="16"/>
      <w:bookmarkEnd w:id="17"/>
    </w:p>
    <w:p w14:paraId="66DAF18B" w14:textId="16A26A18" w:rsidR="00E910B5" w:rsidRPr="00E910B5" w:rsidRDefault="000963FB" w:rsidP="00E910B5">
      <w:pPr>
        <w:pStyle w:val="Reference"/>
        <w:rPr>
          <w:lang w:val="en-US"/>
        </w:rPr>
      </w:pPr>
      <w:bookmarkStart w:id="18" w:name="_Ref45301066"/>
      <w:r w:rsidRPr="000D1F6D">
        <w:rPr>
          <w:lang w:val="en-US"/>
        </w:rPr>
        <w:t>TR 38.821, “Solutions for NR to support Non-Terrestrial Networks (NTN),” V16.0.0.</w:t>
      </w:r>
      <w:bookmarkEnd w:id="18"/>
    </w:p>
    <w:p w14:paraId="5F3F3E8D" w14:textId="4AC91E28" w:rsidR="000E65BB" w:rsidRPr="000D1F6D" w:rsidRDefault="000E65BB" w:rsidP="00BE1338">
      <w:pPr>
        <w:pStyle w:val="Reference"/>
        <w:rPr>
          <w:lang w:val="en-US"/>
        </w:rPr>
      </w:pPr>
      <w:bookmarkStart w:id="19"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19"/>
    </w:p>
    <w:p w14:paraId="6FCCDE27" w14:textId="3A8162E0" w:rsidR="000C5885" w:rsidRPr="00F3022D" w:rsidRDefault="000C5885" w:rsidP="00BE1338">
      <w:pPr>
        <w:pStyle w:val="Reference"/>
        <w:rPr>
          <w:lang w:val="en-US"/>
        </w:rPr>
      </w:pPr>
      <w:bookmarkStart w:id="20"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20"/>
      <w:r w:rsidRPr="00F3022D">
        <w:rPr>
          <w:lang w:val="en-US"/>
        </w:rPr>
        <w:t xml:space="preserve"> </w:t>
      </w:r>
    </w:p>
    <w:p w14:paraId="3A73DDF7" w14:textId="19955734" w:rsidR="00061005" w:rsidRPr="000021F7" w:rsidRDefault="00061005" w:rsidP="00502489">
      <w:pPr>
        <w:pStyle w:val="Reference"/>
        <w:rPr>
          <w:lang w:val="en-US"/>
        </w:rPr>
      </w:pPr>
      <w:bookmarkStart w:id="21"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21"/>
      <w:r w:rsidR="000C5885" w:rsidRPr="000021F7">
        <w:rPr>
          <w:lang w:val="en-US"/>
        </w:rPr>
        <w:t>.</w:t>
      </w:r>
    </w:p>
    <w:p w14:paraId="3150524E" w14:textId="3BFA3E59" w:rsidR="00061005" w:rsidRDefault="00462994" w:rsidP="00502489">
      <w:pPr>
        <w:pStyle w:val="Reference"/>
        <w:rPr>
          <w:lang w:val="en-US"/>
        </w:rPr>
      </w:pPr>
      <w:bookmarkStart w:id="22" w:name="_Ref47351272"/>
      <w:r w:rsidRPr="000021F7">
        <w:rPr>
          <w:lang w:val="en-US"/>
        </w:rPr>
        <w:t>R1-2005502, “On UL time and frequency synchronization enhancements for NTN,” 3GPP TSG RAN WG1 Meeting #102, Ericsson, August 2020.</w:t>
      </w:r>
      <w:bookmarkEnd w:id="22"/>
    </w:p>
    <w:p w14:paraId="63379F61" w14:textId="4427077B" w:rsidR="00C768C7" w:rsidRPr="000D1F6D" w:rsidRDefault="00C768C7" w:rsidP="00502489">
      <w:pPr>
        <w:pStyle w:val="Reference"/>
        <w:rPr>
          <w:lang w:val="en-US"/>
        </w:rPr>
      </w:pPr>
      <w:bookmarkStart w:id="23" w:name="_Ref54011980"/>
      <w:r>
        <w:rPr>
          <w:lang w:val="en-US"/>
        </w:rPr>
        <w:t>R2-</w:t>
      </w:r>
      <w:r w:rsidR="002A1BEA">
        <w:rPr>
          <w:lang w:val="en-US"/>
        </w:rPr>
        <w:t>200</w:t>
      </w:r>
      <w:r w:rsidR="006711D7">
        <w:rPr>
          <w:lang w:val="en-US"/>
        </w:rPr>
        <w:t>98</w:t>
      </w:r>
      <w:r w:rsidR="00437C69">
        <w:rPr>
          <w:lang w:val="en-US"/>
        </w:rPr>
        <w:t>18</w:t>
      </w:r>
      <w:r w:rsidR="00F46946">
        <w:rPr>
          <w:lang w:val="en-US"/>
        </w:rPr>
        <w:t xml:space="preserve">, </w:t>
      </w:r>
      <w:r w:rsidR="001459C6">
        <w:rPr>
          <w:lang w:val="en-US"/>
        </w:rPr>
        <w:t>Idle mode for NTN, Ericsson</w:t>
      </w:r>
      <w:bookmarkEnd w:id="23"/>
      <w:r>
        <w:rPr>
          <w:lang w:val="en-US"/>
        </w:rPr>
        <w:t xml:space="preserve"> </w:t>
      </w:r>
    </w:p>
    <w:sectPr w:rsidR="00C768C7" w:rsidRPr="000D1F6D"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33D93" w14:textId="77777777" w:rsidR="00482F25" w:rsidRDefault="00482F25">
      <w:r>
        <w:separator/>
      </w:r>
    </w:p>
  </w:endnote>
  <w:endnote w:type="continuationSeparator" w:id="0">
    <w:p w14:paraId="46B7DB2A" w14:textId="77777777" w:rsidR="00482F25" w:rsidRDefault="00482F25">
      <w:r>
        <w:continuationSeparator/>
      </w:r>
    </w:p>
  </w:endnote>
  <w:endnote w:type="continuationNotice" w:id="1">
    <w:p w14:paraId="70D7B164" w14:textId="77777777" w:rsidR="00482F25" w:rsidRDefault="00482F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0EE92" w14:textId="77777777" w:rsidR="00482F25" w:rsidRDefault="00482F25">
      <w:r>
        <w:separator/>
      </w:r>
    </w:p>
  </w:footnote>
  <w:footnote w:type="continuationSeparator" w:id="0">
    <w:p w14:paraId="569CD830" w14:textId="77777777" w:rsidR="00482F25" w:rsidRDefault="00482F25">
      <w:r>
        <w:continuationSeparator/>
      </w:r>
    </w:p>
  </w:footnote>
  <w:footnote w:type="continuationNotice" w:id="1">
    <w:p w14:paraId="62CF67BC" w14:textId="77777777" w:rsidR="00482F25" w:rsidRDefault="00482F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7A8CC62">
      <w:start w:val="1"/>
      <w:numFmt w:val="lowerRoman"/>
      <w:pStyle w:val="ListNumber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hybridMultilevel"/>
    <w:tmpl w:val="456CAACC"/>
    <w:lvl w:ilvl="0" w:tplc="BA3657D2">
      <w:start w:val="1"/>
      <w:numFmt w:val="decimal"/>
      <w:lvlText w:val="Proposal %1:"/>
      <w:lvlJc w:val="left"/>
      <w:pPr>
        <w:tabs>
          <w:tab w:val="num" w:pos="1304"/>
        </w:tabs>
        <w:ind w:left="1304" w:hanging="1304"/>
      </w:pPr>
      <w:rPr>
        <w:rFonts w:hint="default"/>
      </w:rPr>
    </w:lvl>
    <w:lvl w:ilvl="1" w:tplc="8DD81822">
      <w:start w:val="1"/>
      <w:numFmt w:val="lowerLetter"/>
      <w:lvlText w:val="%2."/>
      <w:lvlJc w:val="left"/>
      <w:pPr>
        <w:tabs>
          <w:tab w:val="num" w:pos="1440"/>
        </w:tabs>
        <w:ind w:left="1440" w:hanging="360"/>
      </w:pPr>
    </w:lvl>
    <w:lvl w:ilvl="2" w:tplc="2DEE48F2">
      <w:start w:val="1"/>
      <w:numFmt w:val="lowerRoman"/>
      <w:lvlText w:val="%3."/>
      <w:lvlJc w:val="right"/>
      <w:pPr>
        <w:tabs>
          <w:tab w:val="num" w:pos="2160"/>
        </w:tabs>
        <w:ind w:left="2160" w:hanging="180"/>
      </w:pPr>
    </w:lvl>
    <w:lvl w:ilvl="3" w:tplc="B9FA6568">
      <w:start w:val="1"/>
      <w:numFmt w:val="decimal"/>
      <w:lvlText w:val="%4."/>
      <w:lvlJc w:val="left"/>
      <w:pPr>
        <w:tabs>
          <w:tab w:val="num" w:pos="2880"/>
        </w:tabs>
        <w:ind w:left="2880" w:hanging="360"/>
      </w:pPr>
    </w:lvl>
    <w:lvl w:ilvl="4" w:tplc="DEDEA97C">
      <w:start w:val="1"/>
      <w:numFmt w:val="lowerLetter"/>
      <w:lvlText w:val="%5."/>
      <w:lvlJc w:val="left"/>
      <w:pPr>
        <w:tabs>
          <w:tab w:val="num" w:pos="3600"/>
        </w:tabs>
        <w:ind w:left="3600" w:hanging="360"/>
      </w:pPr>
    </w:lvl>
    <w:lvl w:ilvl="5" w:tplc="84D09F9A">
      <w:start w:val="1"/>
      <w:numFmt w:val="lowerRoman"/>
      <w:lvlText w:val="%6."/>
      <w:lvlJc w:val="right"/>
      <w:pPr>
        <w:tabs>
          <w:tab w:val="num" w:pos="4320"/>
        </w:tabs>
        <w:ind w:left="4320" w:hanging="180"/>
      </w:pPr>
    </w:lvl>
    <w:lvl w:ilvl="6" w:tplc="4D5C1CB0">
      <w:start w:val="1"/>
      <w:numFmt w:val="decimal"/>
      <w:lvlText w:val="%7."/>
      <w:lvlJc w:val="left"/>
      <w:pPr>
        <w:tabs>
          <w:tab w:val="num" w:pos="5040"/>
        </w:tabs>
        <w:ind w:left="5040" w:hanging="360"/>
      </w:pPr>
    </w:lvl>
    <w:lvl w:ilvl="7" w:tplc="F4588E50">
      <w:start w:val="1"/>
      <w:numFmt w:val="lowerLetter"/>
      <w:lvlText w:val="%8."/>
      <w:lvlJc w:val="left"/>
      <w:pPr>
        <w:tabs>
          <w:tab w:val="num" w:pos="5760"/>
        </w:tabs>
        <w:ind w:left="5760" w:hanging="360"/>
      </w:pPr>
    </w:lvl>
    <w:lvl w:ilvl="8" w:tplc="125CBCDA">
      <w:start w:val="1"/>
      <w:numFmt w:val="lowerRoman"/>
      <w:lvlText w:val="%9."/>
      <w:lvlJc w:val="right"/>
      <w:pPr>
        <w:tabs>
          <w:tab w:val="num" w:pos="6480"/>
        </w:tabs>
        <w:ind w:left="6480" w:hanging="180"/>
      </w:pPr>
    </w:lvl>
  </w:abstractNum>
  <w:abstractNum w:abstractNumId="17"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A2D66"/>
    <w:multiLevelType w:val="hybridMultilevel"/>
    <w:tmpl w:val="A4502544"/>
    <w:lvl w:ilvl="0" w:tplc="040B0001">
      <w:start w:val="1"/>
      <w:numFmt w:val="bullet"/>
      <w:lvlText w:val=""/>
      <w:lvlJc w:val="left"/>
      <w:pPr>
        <w:ind w:left="780" w:hanging="360"/>
      </w:pPr>
      <w:rPr>
        <w:rFonts w:ascii="Symbol" w:hAnsi="Symbo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A270CC"/>
    <w:multiLevelType w:val="hybridMultilevel"/>
    <w:tmpl w:val="DD5A818E"/>
    <w:lvl w:ilvl="0" w:tplc="FAF2BA3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2"/>
  </w:num>
  <w:num w:numId="4">
    <w:abstractNumId w:val="23"/>
  </w:num>
  <w:num w:numId="5">
    <w:abstractNumId w:val="18"/>
  </w:num>
  <w:num w:numId="6">
    <w:abstractNumId w:val="26"/>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4"/>
  </w:num>
  <w:num w:numId="16">
    <w:abstractNumId w:val="36"/>
  </w:num>
  <w:num w:numId="17">
    <w:abstractNumId w:val="14"/>
  </w:num>
  <w:num w:numId="18">
    <w:abstractNumId w:val="15"/>
  </w:num>
  <w:num w:numId="19">
    <w:abstractNumId w:val="8"/>
  </w:num>
  <w:num w:numId="20">
    <w:abstractNumId w:val="41"/>
  </w:num>
  <w:num w:numId="21">
    <w:abstractNumId w:val="20"/>
  </w:num>
  <w:num w:numId="22">
    <w:abstractNumId w:val="38"/>
  </w:num>
  <w:num w:numId="23">
    <w:abstractNumId w:val="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7"/>
  </w:num>
  <w:num w:numId="27">
    <w:abstractNumId w:val="3"/>
  </w:num>
  <w:num w:numId="28">
    <w:abstractNumId w:val="4"/>
  </w:num>
  <w:num w:numId="29">
    <w:abstractNumId w:val="30"/>
  </w:num>
  <w:num w:numId="30">
    <w:abstractNumId w:val="7"/>
  </w:num>
  <w:num w:numId="31">
    <w:abstractNumId w:val="42"/>
  </w:num>
  <w:num w:numId="32">
    <w:abstractNumId w:val="13"/>
  </w:num>
  <w:num w:numId="33">
    <w:abstractNumId w:val="7"/>
  </w:num>
  <w:num w:numId="34">
    <w:abstractNumId w:val="31"/>
  </w:num>
  <w:num w:numId="35">
    <w:abstractNumId w:val="17"/>
  </w:num>
  <w:num w:numId="36">
    <w:abstractNumId w:val="25"/>
  </w:num>
  <w:num w:numId="37">
    <w:abstractNumId w:val="10"/>
  </w:num>
  <w:num w:numId="38">
    <w:abstractNumId w:val="40"/>
  </w:num>
  <w:num w:numId="39">
    <w:abstractNumId w:val="12"/>
  </w:num>
  <w:num w:numId="40">
    <w:abstractNumId w:val="6"/>
  </w:num>
  <w:num w:numId="41">
    <w:abstractNumId w:val="32"/>
  </w:num>
  <w:num w:numId="42">
    <w:abstractNumId w:val="28"/>
  </w:num>
  <w:num w:numId="43">
    <w:abstractNumId w:val="39"/>
  </w:num>
  <w:num w:numId="44">
    <w:abstractNumId w:val="21"/>
  </w:num>
  <w:num w:numId="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1EC"/>
    <w:rsid w:val="00007CDC"/>
    <w:rsid w:val="00011B28"/>
    <w:rsid w:val="00013EB6"/>
    <w:rsid w:val="0001439D"/>
    <w:rsid w:val="00015D15"/>
    <w:rsid w:val="00016A18"/>
    <w:rsid w:val="0001789D"/>
    <w:rsid w:val="00021CC0"/>
    <w:rsid w:val="00023715"/>
    <w:rsid w:val="0002564D"/>
    <w:rsid w:val="00025ECA"/>
    <w:rsid w:val="00025F4A"/>
    <w:rsid w:val="000312F8"/>
    <w:rsid w:val="00031E93"/>
    <w:rsid w:val="000325B8"/>
    <w:rsid w:val="00033139"/>
    <w:rsid w:val="000332FF"/>
    <w:rsid w:val="0003332F"/>
    <w:rsid w:val="000349C2"/>
    <w:rsid w:val="00034C15"/>
    <w:rsid w:val="00035A06"/>
    <w:rsid w:val="00035FAB"/>
    <w:rsid w:val="0003695C"/>
    <w:rsid w:val="00036BA1"/>
    <w:rsid w:val="00037FC4"/>
    <w:rsid w:val="0004165B"/>
    <w:rsid w:val="00041DFB"/>
    <w:rsid w:val="000422E2"/>
    <w:rsid w:val="00042F22"/>
    <w:rsid w:val="00042F4B"/>
    <w:rsid w:val="000444EF"/>
    <w:rsid w:val="00047284"/>
    <w:rsid w:val="00050FB3"/>
    <w:rsid w:val="0005122F"/>
    <w:rsid w:val="00052283"/>
    <w:rsid w:val="00052A07"/>
    <w:rsid w:val="00052C67"/>
    <w:rsid w:val="00052D1F"/>
    <w:rsid w:val="000532E7"/>
    <w:rsid w:val="000534E3"/>
    <w:rsid w:val="0005457D"/>
    <w:rsid w:val="0005606A"/>
    <w:rsid w:val="0005644C"/>
    <w:rsid w:val="00057117"/>
    <w:rsid w:val="00057834"/>
    <w:rsid w:val="00057ED7"/>
    <w:rsid w:val="000609A1"/>
    <w:rsid w:val="00061005"/>
    <w:rsid w:val="000616E7"/>
    <w:rsid w:val="000622B1"/>
    <w:rsid w:val="00062765"/>
    <w:rsid w:val="0006487E"/>
    <w:rsid w:val="00065E1A"/>
    <w:rsid w:val="00067140"/>
    <w:rsid w:val="00072253"/>
    <w:rsid w:val="00072345"/>
    <w:rsid w:val="0007439C"/>
    <w:rsid w:val="00076DE9"/>
    <w:rsid w:val="00077E5F"/>
    <w:rsid w:val="0008036A"/>
    <w:rsid w:val="0008070A"/>
    <w:rsid w:val="00081AE6"/>
    <w:rsid w:val="00081ECE"/>
    <w:rsid w:val="00082906"/>
    <w:rsid w:val="000847D5"/>
    <w:rsid w:val="000855EB"/>
    <w:rsid w:val="00085B52"/>
    <w:rsid w:val="000865D0"/>
    <w:rsid w:val="000866F2"/>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A1B7B"/>
    <w:rsid w:val="000A1D4B"/>
    <w:rsid w:val="000A56F2"/>
    <w:rsid w:val="000A64C3"/>
    <w:rsid w:val="000B0295"/>
    <w:rsid w:val="000B1F7D"/>
    <w:rsid w:val="000B2719"/>
    <w:rsid w:val="000B3A8F"/>
    <w:rsid w:val="000B3C1E"/>
    <w:rsid w:val="000B4414"/>
    <w:rsid w:val="000B4AB9"/>
    <w:rsid w:val="000B58C3"/>
    <w:rsid w:val="000B61E9"/>
    <w:rsid w:val="000B6216"/>
    <w:rsid w:val="000B640F"/>
    <w:rsid w:val="000C09DB"/>
    <w:rsid w:val="000C0A56"/>
    <w:rsid w:val="000C165A"/>
    <w:rsid w:val="000C1D96"/>
    <w:rsid w:val="000C24D8"/>
    <w:rsid w:val="000C2B3E"/>
    <w:rsid w:val="000C2E19"/>
    <w:rsid w:val="000C395B"/>
    <w:rsid w:val="000C4FD3"/>
    <w:rsid w:val="000C5885"/>
    <w:rsid w:val="000C5BA1"/>
    <w:rsid w:val="000C7F06"/>
    <w:rsid w:val="000D05D1"/>
    <w:rsid w:val="000D0D07"/>
    <w:rsid w:val="000D1D44"/>
    <w:rsid w:val="000D1F6D"/>
    <w:rsid w:val="000D4797"/>
    <w:rsid w:val="000D546A"/>
    <w:rsid w:val="000D66C8"/>
    <w:rsid w:val="000D697C"/>
    <w:rsid w:val="000D746C"/>
    <w:rsid w:val="000D7567"/>
    <w:rsid w:val="000D7B21"/>
    <w:rsid w:val="000E0527"/>
    <w:rsid w:val="000E0FE9"/>
    <w:rsid w:val="000E12BA"/>
    <w:rsid w:val="000E136A"/>
    <w:rsid w:val="000E18BE"/>
    <w:rsid w:val="000E1E92"/>
    <w:rsid w:val="000E368D"/>
    <w:rsid w:val="000E39D4"/>
    <w:rsid w:val="000E525C"/>
    <w:rsid w:val="000E5C9F"/>
    <w:rsid w:val="000E65BB"/>
    <w:rsid w:val="000E79D9"/>
    <w:rsid w:val="000F06D6"/>
    <w:rsid w:val="000F08DE"/>
    <w:rsid w:val="000F0EB1"/>
    <w:rsid w:val="000F1106"/>
    <w:rsid w:val="000F242E"/>
    <w:rsid w:val="000F28C1"/>
    <w:rsid w:val="000F33EB"/>
    <w:rsid w:val="000F3BE9"/>
    <w:rsid w:val="000F3CBF"/>
    <w:rsid w:val="000F3F6C"/>
    <w:rsid w:val="000F6232"/>
    <w:rsid w:val="000F6DF3"/>
    <w:rsid w:val="000F7747"/>
    <w:rsid w:val="000F77BF"/>
    <w:rsid w:val="000F7F92"/>
    <w:rsid w:val="001004E9"/>
    <w:rsid w:val="001005FF"/>
    <w:rsid w:val="00100784"/>
    <w:rsid w:val="00100887"/>
    <w:rsid w:val="001011B7"/>
    <w:rsid w:val="00101C5C"/>
    <w:rsid w:val="00102360"/>
    <w:rsid w:val="001051B7"/>
    <w:rsid w:val="0010547E"/>
    <w:rsid w:val="001062FB"/>
    <w:rsid w:val="001063E6"/>
    <w:rsid w:val="00106538"/>
    <w:rsid w:val="00107472"/>
    <w:rsid w:val="001107C1"/>
    <w:rsid w:val="001107FE"/>
    <w:rsid w:val="0011102D"/>
    <w:rsid w:val="00111071"/>
    <w:rsid w:val="00111616"/>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4A74"/>
    <w:rsid w:val="001459C6"/>
    <w:rsid w:val="0014763D"/>
    <w:rsid w:val="001476B0"/>
    <w:rsid w:val="00147C9F"/>
    <w:rsid w:val="00147ED4"/>
    <w:rsid w:val="0015021D"/>
    <w:rsid w:val="00150342"/>
    <w:rsid w:val="00151E23"/>
    <w:rsid w:val="001526E0"/>
    <w:rsid w:val="001538F0"/>
    <w:rsid w:val="0015455E"/>
    <w:rsid w:val="00154567"/>
    <w:rsid w:val="001551B5"/>
    <w:rsid w:val="00155631"/>
    <w:rsid w:val="001571D3"/>
    <w:rsid w:val="001615F0"/>
    <w:rsid w:val="001629AD"/>
    <w:rsid w:val="00162EE1"/>
    <w:rsid w:val="00163A41"/>
    <w:rsid w:val="0016588B"/>
    <w:rsid w:val="001659C1"/>
    <w:rsid w:val="001660E5"/>
    <w:rsid w:val="001661CA"/>
    <w:rsid w:val="00167829"/>
    <w:rsid w:val="00170DBE"/>
    <w:rsid w:val="00172AE0"/>
    <w:rsid w:val="00173A8E"/>
    <w:rsid w:val="001741B0"/>
    <w:rsid w:val="0017502C"/>
    <w:rsid w:val="001761C0"/>
    <w:rsid w:val="00177C20"/>
    <w:rsid w:val="0018084B"/>
    <w:rsid w:val="00180B7D"/>
    <w:rsid w:val="001810EC"/>
    <w:rsid w:val="0018143F"/>
    <w:rsid w:val="00181FF8"/>
    <w:rsid w:val="0018239B"/>
    <w:rsid w:val="00182515"/>
    <w:rsid w:val="00182ABA"/>
    <w:rsid w:val="0018533F"/>
    <w:rsid w:val="00186953"/>
    <w:rsid w:val="0019065F"/>
    <w:rsid w:val="00190A0B"/>
    <w:rsid w:val="00190AC1"/>
    <w:rsid w:val="00190C8A"/>
    <w:rsid w:val="00190DCE"/>
    <w:rsid w:val="001926D7"/>
    <w:rsid w:val="00192CCD"/>
    <w:rsid w:val="001932BB"/>
    <w:rsid w:val="0019341A"/>
    <w:rsid w:val="00193C41"/>
    <w:rsid w:val="00196F8E"/>
    <w:rsid w:val="00197243"/>
    <w:rsid w:val="00197DF9"/>
    <w:rsid w:val="001A14BF"/>
    <w:rsid w:val="001A179E"/>
    <w:rsid w:val="001A1949"/>
    <w:rsid w:val="001A1987"/>
    <w:rsid w:val="001A2564"/>
    <w:rsid w:val="001A3080"/>
    <w:rsid w:val="001A4E9A"/>
    <w:rsid w:val="001A52A1"/>
    <w:rsid w:val="001A6173"/>
    <w:rsid w:val="001A6CBA"/>
    <w:rsid w:val="001A7874"/>
    <w:rsid w:val="001A7B1D"/>
    <w:rsid w:val="001B0204"/>
    <w:rsid w:val="001B0D97"/>
    <w:rsid w:val="001B1DDC"/>
    <w:rsid w:val="001B2EE6"/>
    <w:rsid w:val="001B4D86"/>
    <w:rsid w:val="001B4ED0"/>
    <w:rsid w:val="001B5A5D"/>
    <w:rsid w:val="001B6359"/>
    <w:rsid w:val="001B6DC4"/>
    <w:rsid w:val="001B7838"/>
    <w:rsid w:val="001B7C44"/>
    <w:rsid w:val="001C10C8"/>
    <w:rsid w:val="001C16C0"/>
    <w:rsid w:val="001C1CE5"/>
    <w:rsid w:val="001C1DB6"/>
    <w:rsid w:val="001C2E1D"/>
    <w:rsid w:val="001C3D2A"/>
    <w:rsid w:val="001C404E"/>
    <w:rsid w:val="001C480A"/>
    <w:rsid w:val="001C6F29"/>
    <w:rsid w:val="001D0028"/>
    <w:rsid w:val="001D0568"/>
    <w:rsid w:val="001D32F8"/>
    <w:rsid w:val="001D4F52"/>
    <w:rsid w:val="001D51BA"/>
    <w:rsid w:val="001D53E7"/>
    <w:rsid w:val="001D55BD"/>
    <w:rsid w:val="001D5C7F"/>
    <w:rsid w:val="001D6342"/>
    <w:rsid w:val="001D6D53"/>
    <w:rsid w:val="001E05FA"/>
    <w:rsid w:val="001E0841"/>
    <w:rsid w:val="001E4BA8"/>
    <w:rsid w:val="001E58E2"/>
    <w:rsid w:val="001E5D91"/>
    <w:rsid w:val="001E5FD2"/>
    <w:rsid w:val="001E7AED"/>
    <w:rsid w:val="001F13A3"/>
    <w:rsid w:val="001F1E36"/>
    <w:rsid w:val="001F2C5D"/>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20600"/>
    <w:rsid w:val="00221485"/>
    <w:rsid w:val="002224DB"/>
    <w:rsid w:val="00223FCB"/>
    <w:rsid w:val="00224841"/>
    <w:rsid w:val="00224AD1"/>
    <w:rsid w:val="002252C3"/>
    <w:rsid w:val="00225349"/>
    <w:rsid w:val="00225C54"/>
    <w:rsid w:val="0022715C"/>
    <w:rsid w:val="00227E40"/>
    <w:rsid w:val="00230765"/>
    <w:rsid w:val="00230D18"/>
    <w:rsid w:val="002319E4"/>
    <w:rsid w:val="0023293B"/>
    <w:rsid w:val="00232D35"/>
    <w:rsid w:val="00234C74"/>
    <w:rsid w:val="00235632"/>
    <w:rsid w:val="00235872"/>
    <w:rsid w:val="00235EF0"/>
    <w:rsid w:val="00237B2C"/>
    <w:rsid w:val="00240C3F"/>
    <w:rsid w:val="00241559"/>
    <w:rsid w:val="002429C6"/>
    <w:rsid w:val="002435B3"/>
    <w:rsid w:val="00244C22"/>
    <w:rsid w:val="002458EB"/>
    <w:rsid w:val="002500C8"/>
    <w:rsid w:val="0025084E"/>
    <w:rsid w:val="00250E8C"/>
    <w:rsid w:val="002514F6"/>
    <w:rsid w:val="00251C33"/>
    <w:rsid w:val="00252EAF"/>
    <w:rsid w:val="002541D1"/>
    <w:rsid w:val="00254D0F"/>
    <w:rsid w:val="00255E26"/>
    <w:rsid w:val="002561C7"/>
    <w:rsid w:val="00257543"/>
    <w:rsid w:val="00260E3B"/>
    <w:rsid w:val="002617E7"/>
    <w:rsid w:val="002620D7"/>
    <w:rsid w:val="002628DA"/>
    <w:rsid w:val="0026362E"/>
    <w:rsid w:val="00264228"/>
    <w:rsid w:val="00264334"/>
    <w:rsid w:val="0026473E"/>
    <w:rsid w:val="00264AAD"/>
    <w:rsid w:val="00265710"/>
    <w:rsid w:val="0026601C"/>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C4D"/>
    <w:rsid w:val="002805F5"/>
    <w:rsid w:val="00280751"/>
    <w:rsid w:val="00281087"/>
    <w:rsid w:val="00281E4D"/>
    <w:rsid w:val="002822BB"/>
    <w:rsid w:val="002824C1"/>
    <w:rsid w:val="002827FD"/>
    <w:rsid w:val="0028280A"/>
    <w:rsid w:val="0028441E"/>
    <w:rsid w:val="00286414"/>
    <w:rsid w:val="0028669E"/>
    <w:rsid w:val="00286ACD"/>
    <w:rsid w:val="00287838"/>
    <w:rsid w:val="002879DF"/>
    <w:rsid w:val="002907B5"/>
    <w:rsid w:val="00292AA1"/>
    <w:rsid w:val="00292EB7"/>
    <w:rsid w:val="00294424"/>
    <w:rsid w:val="00295D25"/>
    <w:rsid w:val="00295DBB"/>
    <w:rsid w:val="00296227"/>
    <w:rsid w:val="00296E84"/>
    <w:rsid w:val="00296F44"/>
    <w:rsid w:val="0029777D"/>
    <w:rsid w:val="002A055E"/>
    <w:rsid w:val="002A12FC"/>
    <w:rsid w:val="002A1B9A"/>
    <w:rsid w:val="002A1BEA"/>
    <w:rsid w:val="002A1D4E"/>
    <w:rsid w:val="002A2869"/>
    <w:rsid w:val="002A2945"/>
    <w:rsid w:val="002A2A3F"/>
    <w:rsid w:val="002A3A7C"/>
    <w:rsid w:val="002A3CE4"/>
    <w:rsid w:val="002A7816"/>
    <w:rsid w:val="002B07B0"/>
    <w:rsid w:val="002B0CD6"/>
    <w:rsid w:val="002B0E2C"/>
    <w:rsid w:val="002B24D6"/>
    <w:rsid w:val="002B2566"/>
    <w:rsid w:val="002B3094"/>
    <w:rsid w:val="002B3DC1"/>
    <w:rsid w:val="002B571E"/>
    <w:rsid w:val="002C10DC"/>
    <w:rsid w:val="002C1632"/>
    <w:rsid w:val="002C2A2F"/>
    <w:rsid w:val="002C38FB"/>
    <w:rsid w:val="002C41E6"/>
    <w:rsid w:val="002C62DC"/>
    <w:rsid w:val="002C749C"/>
    <w:rsid w:val="002C75AD"/>
    <w:rsid w:val="002C7B43"/>
    <w:rsid w:val="002C7E2A"/>
    <w:rsid w:val="002D071A"/>
    <w:rsid w:val="002D0D34"/>
    <w:rsid w:val="002D3325"/>
    <w:rsid w:val="002D34B2"/>
    <w:rsid w:val="002D48B0"/>
    <w:rsid w:val="002D48DC"/>
    <w:rsid w:val="002D4922"/>
    <w:rsid w:val="002D55AA"/>
    <w:rsid w:val="002D5B37"/>
    <w:rsid w:val="002D740B"/>
    <w:rsid w:val="002D7637"/>
    <w:rsid w:val="002E17F2"/>
    <w:rsid w:val="002E31D8"/>
    <w:rsid w:val="002E4896"/>
    <w:rsid w:val="002E4A41"/>
    <w:rsid w:val="002E4DE4"/>
    <w:rsid w:val="002E5264"/>
    <w:rsid w:val="002E722F"/>
    <w:rsid w:val="002E7CAE"/>
    <w:rsid w:val="002F04BB"/>
    <w:rsid w:val="002F13E4"/>
    <w:rsid w:val="002F2771"/>
    <w:rsid w:val="002F282D"/>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31E"/>
    <w:rsid w:val="00307BA1"/>
    <w:rsid w:val="00311702"/>
    <w:rsid w:val="00311E82"/>
    <w:rsid w:val="003120ED"/>
    <w:rsid w:val="00313FD6"/>
    <w:rsid w:val="003143BD"/>
    <w:rsid w:val="00315336"/>
    <w:rsid w:val="00315363"/>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DB5"/>
    <w:rsid w:val="00347704"/>
    <w:rsid w:val="003477B1"/>
    <w:rsid w:val="003515CD"/>
    <w:rsid w:val="00351F7F"/>
    <w:rsid w:val="003538F3"/>
    <w:rsid w:val="00354D95"/>
    <w:rsid w:val="00355768"/>
    <w:rsid w:val="00355DAD"/>
    <w:rsid w:val="003561CE"/>
    <w:rsid w:val="00356ECA"/>
    <w:rsid w:val="00357380"/>
    <w:rsid w:val="003602D9"/>
    <w:rsid w:val="003604CE"/>
    <w:rsid w:val="003651C5"/>
    <w:rsid w:val="003655AB"/>
    <w:rsid w:val="00366CF4"/>
    <w:rsid w:val="00366E55"/>
    <w:rsid w:val="00367067"/>
    <w:rsid w:val="00370E47"/>
    <w:rsid w:val="00371048"/>
    <w:rsid w:val="00372A73"/>
    <w:rsid w:val="00372BCE"/>
    <w:rsid w:val="003742AC"/>
    <w:rsid w:val="00375F09"/>
    <w:rsid w:val="003763DB"/>
    <w:rsid w:val="003779B9"/>
    <w:rsid w:val="00377C92"/>
    <w:rsid w:val="00377CE1"/>
    <w:rsid w:val="0038042C"/>
    <w:rsid w:val="00382727"/>
    <w:rsid w:val="00382E0C"/>
    <w:rsid w:val="00383E8B"/>
    <w:rsid w:val="0038475A"/>
    <w:rsid w:val="00385BF0"/>
    <w:rsid w:val="00386ED4"/>
    <w:rsid w:val="00387CB3"/>
    <w:rsid w:val="00387DBE"/>
    <w:rsid w:val="003900C5"/>
    <w:rsid w:val="00390F33"/>
    <w:rsid w:val="003914BE"/>
    <w:rsid w:val="00391B03"/>
    <w:rsid w:val="00391F52"/>
    <w:rsid w:val="00393545"/>
    <w:rsid w:val="003939FF"/>
    <w:rsid w:val="003A02A1"/>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BF7"/>
    <w:rsid w:val="003B7FE5"/>
    <w:rsid w:val="003C11C8"/>
    <w:rsid w:val="003C1E5C"/>
    <w:rsid w:val="003C2702"/>
    <w:rsid w:val="003C2B17"/>
    <w:rsid w:val="003C2C75"/>
    <w:rsid w:val="003C32D1"/>
    <w:rsid w:val="003C37DB"/>
    <w:rsid w:val="003C5B74"/>
    <w:rsid w:val="003C6222"/>
    <w:rsid w:val="003C7806"/>
    <w:rsid w:val="003C785F"/>
    <w:rsid w:val="003D01DC"/>
    <w:rsid w:val="003D02AB"/>
    <w:rsid w:val="003D109F"/>
    <w:rsid w:val="003D1730"/>
    <w:rsid w:val="003D2478"/>
    <w:rsid w:val="003D3C45"/>
    <w:rsid w:val="003D576F"/>
    <w:rsid w:val="003D5832"/>
    <w:rsid w:val="003D5B1F"/>
    <w:rsid w:val="003D6E43"/>
    <w:rsid w:val="003E0336"/>
    <w:rsid w:val="003E056A"/>
    <w:rsid w:val="003E0C0C"/>
    <w:rsid w:val="003E15FA"/>
    <w:rsid w:val="003E2105"/>
    <w:rsid w:val="003E29C6"/>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E2B"/>
    <w:rsid w:val="00403277"/>
    <w:rsid w:val="00403EE8"/>
    <w:rsid w:val="0040512B"/>
    <w:rsid w:val="00405BBE"/>
    <w:rsid w:val="00405CA5"/>
    <w:rsid w:val="004063CF"/>
    <w:rsid w:val="00407CD3"/>
    <w:rsid w:val="00410134"/>
    <w:rsid w:val="00410B72"/>
    <w:rsid w:val="00410B86"/>
    <w:rsid w:val="00410F18"/>
    <w:rsid w:val="00411E1E"/>
    <w:rsid w:val="0041263E"/>
    <w:rsid w:val="00413AAC"/>
    <w:rsid w:val="00413E92"/>
    <w:rsid w:val="00415C0A"/>
    <w:rsid w:val="004166BB"/>
    <w:rsid w:val="00416B2D"/>
    <w:rsid w:val="00416E4A"/>
    <w:rsid w:val="00420060"/>
    <w:rsid w:val="00421105"/>
    <w:rsid w:val="00421BA9"/>
    <w:rsid w:val="00422AA4"/>
    <w:rsid w:val="0042317D"/>
    <w:rsid w:val="004232CD"/>
    <w:rsid w:val="0042414C"/>
    <w:rsid w:val="00424178"/>
    <w:rsid w:val="004242F4"/>
    <w:rsid w:val="00427248"/>
    <w:rsid w:val="004276CE"/>
    <w:rsid w:val="00430A24"/>
    <w:rsid w:val="004360B1"/>
    <w:rsid w:val="0043646D"/>
    <w:rsid w:val="00437447"/>
    <w:rsid w:val="00437C69"/>
    <w:rsid w:val="00441A92"/>
    <w:rsid w:val="004431DC"/>
    <w:rsid w:val="00444F56"/>
    <w:rsid w:val="00445599"/>
    <w:rsid w:val="00446488"/>
    <w:rsid w:val="00446F0E"/>
    <w:rsid w:val="00447DCB"/>
    <w:rsid w:val="004501C6"/>
    <w:rsid w:val="004517AA"/>
    <w:rsid w:val="004522E3"/>
    <w:rsid w:val="00452CAC"/>
    <w:rsid w:val="00456F22"/>
    <w:rsid w:val="00456FBA"/>
    <w:rsid w:val="00457565"/>
    <w:rsid w:val="00457AFD"/>
    <w:rsid w:val="00457B71"/>
    <w:rsid w:val="00457D40"/>
    <w:rsid w:val="00460C9B"/>
    <w:rsid w:val="00460F4E"/>
    <w:rsid w:val="00462665"/>
    <w:rsid w:val="004628A6"/>
    <w:rsid w:val="00462994"/>
    <w:rsid w:val="00464689"/>
    <w:rsid w:val="00465A9A"/>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F0F"/>
    <w:rsid w:val="00476D8D"/>
    <w:rsid w:val="00477768"/>
    <w:rsid w:val="00480233"/>
    <w:rsid w:val="004808C3"/>
    <w:rsid w:val="00482E2D"/>
    <w:rsid w:val="00482F25"/>
    <w:rsid w:val="0048440B"/>
    <w:rsid w:val="004857AB"/>
    <w:rsid w:val="00485D6D"/>
    <w:rsid w:val="00487A8D"/>
    <w:rsid w:val="004914B0"/>
    <w:rsid w:val="00492BC5"/>
    <w:rsid w:val="00492D0C"/>
    <w:rsid w:val="00492FF2"/>
    <w:rsid w:val="004964F1"/>
    <w:rsid w:val="004A16BC"/>
    <w:rsid w:val="004A2B7F"/>
    <w:rsid w:val="004A2B94"/>
    <w:rsid w:val="004A4A31"/>
    <w:rsid w:val="004A4FCA"/>
    <w:rsid w:val="004A54A0"/>
    <w:rsid w:val="004A7880"/>
    <w:rsid w:val="004A7D54"/>
    <w:rsid w:val="004B1975"/>
    <w:rsid w:val="004B338D"/>
    <w:rsid w:val="004B4371"/>
    <w:rsid w:val="004B4D40"/>
    <w:rsid w:val="004B5398"/>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74E6"/>
    <w:rsid w:val="004D7EBD"/>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50137E"/>
    <w:rsid w:val="0050212F"/>
    <w:rsid w:val="00502489"/>
    <w:rsid w:val="0050480A"/>
    <w:rsid w:val="0050502B"/>
    <w:rsid w:val="00505D57"/>
    <w:rsid w:val="00506557"/>
    <w:rsid w:val="0050677A"/>
    <w:rsid w:val="005108D8"/>
    <w:rsid w:val="00510949"/>
    <w:rsid w:val="00510B0E"/>
    <w:rsid w:val="005116C9"/>
    <w:rsid w:val="005116F9"/>
    <w:rsid w:val="005121D0"/>
    <w:rsid w:val="00513986"/>
    <w:rsid w:val="00513FFA"/>
    <w:rsid w:val="005153A7"/>
    <w:rsid w:val="00515641"/>
    <w:rsid w:val="0051612B"/>
    <w:rsid w:val="00516785"/>
    <w:rsid w:val="00517309"/>
    <w:rsid w:val="00517D92"/>
    <w:rsid w:val="005201C9"/>
    <w:rsid w:val="0052070D"/>
    <w:rsid w:val="005218F2"/>
    <w:rsid w:val="005219CF"/>
    <w:rsid w:val="00521AC8"/>
    <w:rsid w:val="00521CFD"/>
    <w:rsid w:val="00522DD3"/>
    <w:rsid w:val="00522E92"/>
    <w:rsid w:val="00523AF7"/>
    <w:rsid w:val="005247FC"/>
    <w:rsid w:val="00524B16"/>
    <w:rsid w:val="00527B9C"/>
    <w:rsid w:val="00533946"/>
    <w:rsid w:val="00533BF0"/>
    <w:rsid w:val="00534B59"/>
    <w:rsid w:val="00534E04"/>
    <w:rsid w:val="00536759"/>
    <w:rsid w:val="00537C62"/>
    <w:rsid w:val="00542910"/>
    <w:rsid w:val="0054411E"/>
    <w:rsid w:val="00546970"/>
    <w:rsid w:val="00546D80"/>
    <w:rsid w:val="0054778F"/>
    <w:rsid w:val="00550A9E"/>
    <w:rsid w:val="00552790"/>
    <w:rsid w:val="00553466"/>
    <w:rsid w:val="00554E19"/>
    <w:rsid w:val="00555A0C"/>
    <w:rsid w:val="00557F9F"/>
    <w:rsid w:val="005600CD"/>
    <w:rsid w:val="0056121F"/>
    <w:rsid w:val="00561A8D"/>
    <w:rsid w:val="00562BE0"/>
    <w:rsid w:val="0056382C"/>
    <w:rsid w:val="00563A00"/>
    <w:rsid w:val="00564B5F"/>
    <w:rsid w:val="005653FB"/>
    <w:rsid w:val="005659D7"/>
    <w:rsid w:val="005666A3"/>
    <w:rsid w:val="00567F14"/>
    <w:rsid w:val="005715D4"/>
    <w:rsid w:val="00571944"/>
    <w:rsid w:val="00572505"/>
    <w:rsid w:val="00572CD0"/>
    <w:rsid w:val="00577EDF"/>
    <w:rsid w:val="00582809"/>
    <w:rsid w:val="0058626D"/>
    <w:rsid w:val="00587588"/>
    <w:rsid w:val="0058798C"/>
    <w:rsid w:val="005900FA"/>
    <w:rsid w:val="005935A4"/>
    <w:rsid w:val="00593654"/>
    <w:rsid w:val="005948C2"/>
    <w:rsid w:val="00594D82"/>
    <w:rsid w:val="00595DCA"/>
    <w:rsid w:val="00596880"/>
    <w:rsid w:val="0059689B"/>
    <w:rsid w:val="0059779B"/>
    <w:rsid w:val="00597A06"/>
    <w:rsid w:val="005A209A"/>
    <w:rsid w:val="005A2379"/>
    <w:rsid w:val="005A29FD"/>
    <w:rsid w:val="005A3D63"/>
    <w:rsid w:val="005A6410"/>
    <w:rsid w:val="005A662D"/>
    <w:rsid w:val="005B04B2"/>
    <w:rsid w:val="005B0C75"/>
    <w:rsid w:val="005B0EE1"/>
    <w:rsid w:val="005B1409"/>
    <w:rsid w:val="005B1A92"/>
    <w:rsid w:val="005B2FF0"/>
    <w:rsid w:val="005B35D7"/>
    <w:rsid w:val="005B392A"/>
    <w:rsid w:val="005B3AA3"/>
    <w:rsid w:val="005B536A"/>
    <w:rsid w:val="005B6F83"/>
    <w:rsid w:val="005C0B37"/>
    <w:rsid w:val="005C14FF"/>
    <w:rsid w:val="005C268C"/>
    <w:rsid w:val="005C2E7D"/>
    <w:rsid w:val="005C51EE"/>
    <w:rsid w:val="005C74FB"/>
    <w:rsid w:val="005D0437"/>
    <w:rsid w:val="005D1602"/>
    <w:rsid w:val="005D20E3"/>
    <w:rsid w:val="005D276F"/>
    <w:rsid w:val="005D3AB9"/>
    <w:rsid w:val="005D42FE"/>
    <w:rsid w:val="005D4F9A"/>
    <w:rsid w:val="005D6372"/>
    <w:rsid w:val="005D70B1"/>
    <w:rsid w:val="005E1238"/>
    <w:rsid w:val="005E149E"/>
    <w:rsid w:val="005E19C7"/>
    <w:rsid w:val="005E29D9"/>
    <w:rsid w:val="005E30F8"/>
    <w:rsid w:val="005E385F"/>
    <w:rsid w:val="005E46BA"/>
    <w:rsid w:val="005E5B81"/>
    <w:rsid w:val="005E5E14"/>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75B"/>
    <w:rsid w:val="00604F14"/>
    <w:rsid w:val="00606979"/>
    <w:rsid w:val="006070C7"/>
    <w:rsid w:val="00611289"/>
    <w:rsid w:val="00611B83"/>
    <w:rsid w:val="00613257"/>
    <w:rsid w:val="0061657A"/>
    <w:rsid w:val="006177E1"/>
    <w:rsid w:val="0061787A"/>
    <w:rsid w:val="00620A71"/>
    <w:rsid w:val="00620D80"/>
    <w:rsid w:val="006210BB"/>
    <w:rsid w:val="006234A6"/>
    <w:rsid w:val="00623BFB"/>
    <w:rsid w:val="006245EB"/>
    <w:rsid w:val="006247E5"/>
    <w:rsid w:val="006252DB"/>
    <w:rsid w:val="0062591E"/>
    <w:rsid w:val="00625D74"/>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624E"/>
    <w:rsid w:val="0064639C"/>
    <w:rsid w:val="00646ACC"/>
    <w:rsid w:val="00646C1A"/>
    <w:rsid w:val="00647336"/>
    <w:rsid w:val="00647DBB"/>
    <w:rsid w:val="00650AB9"/>
    <w:rsid w:val="00652A36"/>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55EE"/>
    <w:rsid w:val="0066690B"/>
    <w:rsid w:val="00667EE7"/>
    <w:rsid w:val="00670922"/>
    <w:rsid w:val="00670BE1"/>
    <w:rsid w:val="006711D7"/>
    <w:rsid w:val="00671334"/>
    <w:rsid w:val="0067218F"/>
    <w:rsid w:val="00672C9A"/>
    <w:rsid w:val="00672DB0"/>
    <w:rsid w:val="006741F2"/>
    <w:rsid w:val="00674CC3"/>
    <w:rsid w:val="00675AEB"/>
    <w:rsid w:val="00675C72"/>
    <w:rsid w:val="00675F4A"/>
    <w:rsid w:val="006771F9"/>
    <w:rsid w:val="006776D7"/>
    <w:rsid w:val="00681003"/>
    <w:rsid w:val="006817C9"/>
    <w:rsid w:val="006822E8"/>
    <w:rsid w:val="0068280F"/>
    <w:rsid w:val="00682D15"/>
    <w:rsid w:val="00683ECE"/>
    <w:rsid w:val="0068406A"/>
    <w:rsid w:val="0068415C"/>
    <w:rsid w:val="006864DB"/>
    <w:rsid w:val="00686A69"/>
    <w:rsid w:val="00687A8E"/>
    <w:rsid w:val="00692FEF"/>
    <w:rsid w:val="006933BE"/>
    <w:rsid w:val="00693F30"/>
    <w:rsid w:val="0069481A"/>
    <w:rsid w:val="00695FC2"/>
    <w:rsid w:val="00696949"/>
    <w:rsid w:val="00696C3E"/>
    <w:rsid w:val="00696C67"/>
    <w:rsid w:val="00697052"/>
    <w:rsid w:val="006A0F5D"/>
    <w:rsid w:val="006A46FB"/>
    <w:rsid w:val="006A59D9"/>
    <w:rsid w:val="006A5D53"/>
    <w:rsid w:val="006A5E28"/>
    <w:rsid w:val="006A697B"/>
    <w:rsid w:val="006A7AFF"/>
    <w:rsid w:val="006B1816"/>
    <w:rsid w:val="006B2016"/>
    <w:rsid w:val="006B2099"/>
    <w:rsid w:val="006B3688"/>
    <w:rsid w:val="006B50CF"/>
    <w:rsid w:val="006C03B8"/>
    <w:rsid w:val="006C2D83"/>
    <w:rsid w:val="006C479F"/>
    <w:rsid w:val="006C5EC9"/>
    <w:rsid w:val="006C6059"/>
    <w:rsid w:val="006C662D"/>
    <w:rsid w:val="006C67B4"/>
    <w:rsid w:val="006C7522"/>
    <w:rsid w:val="006D1520"/>
    <w:rsid w:val="006D26B5"/>
    <w:rsid w:val="006D3DD3"/>
    <w:rsid w:val="006D58A1"/>
    <w:rsid w:val="006D6F08"/>
    <w:rsid w:val="006D7248"/>
    <w:rsid w:val="006D7795"/>
    <w:rsid w:val="006E062C"/>
    <w:rsid w:val="006E0B05"/>
    <w:rsid w:val="006E0D1E"/>
    <w:rsid w:val="006E1C82"/>
    <w:rsid w:val="006E28B7"/>
    <w:rsid w:val="006E2A9B"/>
    <w:rsid w:val="006E3310"/>
    <w:rsid w:val="006E4E39"/>
    <w:rsid w:val="006E565E"/>
    <w:rsid w:val="006E5F88"/>
    <w:rsid w:val="006E673D"/>
    <w:rsid w:val="006E7D3B"/>
    <w:rsid w:val="006F0467"/>
    <w:rsid w:val="006F04F0"/>
    <w:rsid w:val="006F09DE"/>
    <w:rsid w:val="006F0F96"/>
    <w:rsid w:val="006F1B70"/>
    <w:rsid w:val="006F341D"/>
    <w:rsid w:val="006F3CDE"/>
    <w:rsid w:val="006F58D4"/>
    <w:rsid w:val="006F624C"/>
    <w:rsid w:val="006F6582"/>
    <w:rsid w:val="006F6E1B"/>
    <w:rsid w:val="006F791F"/>
    <w:rsid w:val="00700EDD"/>
    <w:rsid w:val="0070346E"/>
    <w:rsid w:val="0070405B"/>
    <w:rsid w:val="00704EDB"/>
    <w:rsid w:val="00705BF4"/>
    <w:rsid w:val="00705D4B"/>
    <w:rsid w:val="00705E54"/>
    <w:rsid w:val="00706029"/>
    <w:rsid w:val="00706101"/>
    <w:rsid w:val="00707072"/>
    <w:rsid w:val="00707D61"/>
    <w:rsid w:val="00707DE6"/>
    <w:rsid w:val="00710A09"/>
    <w:rsid w:val="00711B88"/>
    <w:rsid w:val="00712287"/>
    <w:rsid w:val="00712772"/>
    <w:rsid w:val="007141B1"/>
    <w:rsid w:val="007148D3"/>
    <w:rsid w:val="00715B9A"/>
    <w:rsid w:val="00716F9F"/>
    <w:rsid w:val="00720A10"/>
    <w:rsid w:val="00720EAC"/>
    <w:rsid w:val="00724D45"/>
    <w:rsid w:val="007257D0"/>
    <w:rsid w:val="00725CF4"/>
    <w:rsid w:val="00726EA6"/>
    <w:rsid w:val="00727208"/>
    <w:rsid w:val="00727680"/>
    <w:rsid w:val="007329F5"/>
    <w:rsid w:val="00732FC5"/>
    <w:rsid w:val="007348B1"/>
    <w:rsid w:val="007362A6"/>
    <w:rsid w:val="00736332"/>
    <w:rsid w:val="00736422"/>
    <w:rsid w:val="007368C2"/>
    <w:rsid w:val="007368F9"/>
    <w:rsid w:val="00736D7D"/>
    <w:rsid w:val="00737131"/>
    <w:rsid w:val="007375D9"/>
    <w:rsid w:val="007406CA"/>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16FF"/>
    <w:rsid w:val="007631BA"/>
    <w:rsid w:val="00764022"/>
    <w:rsid w:val="00765281"/>
    <w:rsid w:val="00765C7D"/>
    <w:rsid w:val="00766BAD"/>
    <w:rsid w:val="00771318"/>
    <w:rsid w:val="00771494"/>
    <w:rsid w:val="007715BE"/>
    <w:rsid w:val="007729A2"/>
    <w:rsid w:val="00772B62"/>
    <w:rsid w:val="00774352"/>
    <w:rsid w:val="007754F1"/>
    <w:rsid w:val="007755F2"/>
    <w:rsid w:val="00776971"/>
    <w:rsid w:val="007769F8"/>
    <w:rsid w:val="00780A80"/>
    <w:rsid w:val="0078177E"/>
    <w:rsid w:val="007829A8"/>
    <w:rsid w:val="0078304C"/>
    <w:rsid w:val="00783673"/>
    <w:rsid w:val="00783E4C"/>
    <w:rsid w:val="007844D3"/>
    <w:rsid w:val="00784EF4"/>
    <w:rsid w:val="00785490"/>
    <w:rsid w:val="007925EA"/>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1DA6"/>
    <w:rsid w:val="007C3D18"/>
    <w:rsid w:val="007C568E"/>
    <w:rsid w:val="007C60BF"/>
    <w:rsid w:val="007C6A07"/>
    <w:rsid w:val="007C6D52"/>
    <w:rsid w:val="007C6D8A"/>
    <w:rsid w:val="007C75A1"/>
    <w:rsid w:val="007C77A5"/>
    <w:rsid w:val="007C7909"/>
    <w:rsid w:val="007D04E5"/>
    <w:rsid w:val="007D0831"/>
    <w:rsid w:val="007D1C19"/>
    <w:rsid w:val="007D2FAD"/>
    <w:rsid w:val="007D4367"/>
    <w:rsid w:val="007D4A39"/>
    <w:rsid w:val="007D4CBE"/>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17D8"/>
    <w:rsid w:val="007F490B"/>
    <w:rsid w:val="007F794C"/>
    <w:rsid w:val="00800E2F"/>
    <w:rsid w:val="008028AD"/>
    <w:rsid w:val="00802A9B"/>
    <w:rsid w:val="00803FAE"/>
    <w:rsid w:val="0080605F"/>
    <w:rsid w:val="00806429"/>
    <w:rsid w:val="0080739A"/>
    <w:rsid w:val="00807786"/>
    <w:rsid w:val="008077DE"/>
    <w:rsid w:val="0081004B"/>
    <w:rsid w:val="008103A5"/>
    <w:rsid w:val="00811FCB"/>
    <w:rsid w:val="008129F3"/>
    <w:rsid w:val="008144B7"/>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62F3"/>
    <w:rsid w:val="0082670F"/>
    <w:rsid w:val="0082729B"/>
    <w:rsid w:val="00827D6F"/>
    <w:rsid w:val="0083047D"/>
    <w:rsid w:val="00831665"/>
    <w:rsid w:val="00831B19"/>
    <w:rsid w:val="0083407C"/>
    <w:rsid w:val="00834399"/>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7"/>
    <w:rsid w:val="00855DC9"/>
    <w:rsid w:val="00856911"/>
    <w:rsid w:val="00856E24"/>
    <w:rsid w:val="00860F11"/>
    <w:rsid w:val="00861531"/>
    <w:rsid w:val="0086218C"/>
    <w:rsid w:val="008630C4"/>
    <w:rsid w:val="00863C00"/>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1D3C"/>
    <w:rsid w:val="00884942"/>
    <w:rsid w:val="0088786A"/>
    <w:rsid w:val="00892138"/>
    <w:rsid w:val="008941E3"/>
    <w:rsid w:val="00894369"/>
    <w:rsid w:val="00894A88"/>
    <w:rsid w:val="00895148"/>
    <w:rsid w:val="00895386"/>
    <w:rsid w:val="008A015F"/>
    <w:rsid w:val="008A16B7"/>
    <w:rsid w:val="008A1F60"/>
    <w:rsid w:val="008A21FF"/>
    <w:rsid w:val="008A2CE2"/>
    <w:rsid w:val="008A30AC"/>
    <w:rsid w:val="008A44B8"/>
    <w:rsid w:val="008A51A8"/>
    <w:rsid w:val="008A54C7"/>
    <w:rsid w:val="008A57E2"/>
    <w:rsid w:val="008A6624"/>
    <w:rsid w:val="008A6C47"/>
    <w:rsid w:val="008A77D8"/>
    <w:rsid w:val="008B0483"/>
    <w:rsid w:val="008B120C"/>
    <w:rsid w:val="008B392B"/>
    <w:rsid w:val="008B4225"/>
    <w:rsid w:val="008B4A46"/>
    <w:rsid w:val="008B51A0"/>
    <w:rsid w:val="008B592A"/>
    <w:rsid w:val="008B716E"/>
    <w:rsid w:val="008B7B5C"/>
    <w:rsid w:val="008C0AFA"/>
    <w:rsid w:val="008C0C99"/>
    <w:rsid w:val="008C1B25"/>
    <w:rsid w:val="008C1EAF"/>
    <w:rsid w:val="008C2017"/>
    <w:rsid w:val="008C3D8E"/>
    <w:rsid w:val="008C4958"/>
    <w:rsid w:val="008C4BAA"/>
    <w:rsid w:val="008C5051"/>
    <w:rsid w:val="008C5060"/>
    <w:rsid w:val="008C527E"/>
    <w:rsid w:val="008C5724"/>
    <w:rsid w:val="008C6AE8"/>
    <w:rsid w:val="008C7573"/>
    <w:rsid w:val="008D00A5"/>
    <w:rsid w:val="008D08E6"/>
    <w:rsid w:val="008D21D6"/>
    <w:rsid w:val="008D34F1"/>
    <w:rsid w:val="008D39D8"/>
    <w:rsid w:val="008D4C9D"/>
    <w:rsid w:val="008D5BB5"/>
    <w:rsid w:val="008D6D1A"/>
    <w:rsid w:val="008D737C"/>
    <w:rsid w:val="008D7BA9"/>
    <w:rsid w:val="008E02E0"/>
    <w:rsid w:val="008E065E"/>
    <w:rsid w:val="008E074F"/>
    <w:rsid w:val="008E0927"/>
    <w:rsid w:val="008E1909"/>
    <w:rsid w:val="008E1971"/>
    <w:rsid w:val="008E3980"/>
    <w:rsid w:val="008E3CCB"/>
    <w:rsid w:val="008E6348"/>
    <w:rsid w:val="008E6A9B"/>
    <w:rsid w:val="008E6F3B"/>
    <w:rsid w:val="008F1407"/>
    <w:rsid w:val="008F1C4E"/>
    <w:rsid w:val="008F1EAB"/>
    <w:rsid w:val="008F2170"/>
    <w:rsid w:val="008F3083"/>
    <w:rsid w:val="008F33DC"/>
    <w:rsid w:val="008F477F"/>
    <w:rsid w:val="008F4A0E"/>
    <w:rsid w:val="008F578B"/>
    <w:rsid w:val="008F6246"/>
    <w:rsid w:val="00902350"/>
    <w:rsid w:val="00902C80"/>
    <w:rsid w:val="00902CDD"/>
    <w:rsid w:val="0090336B"/>
    <w:rsid w:val="009053AA"/>
    <w:rsid w:val="00906600"/>
    <w:rsid w:val="00906939"/>
    <w:rsid w:val="00907487"/>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47B5"/>
    <w:rsid w:val="00944F75"/>
    <w:rsid w:val="00945102"/>
    <w:rsid w:val="00945C05"/>
    <w:rsid w:val="00945DFC"/>
    <w:rsid w:val="00946945"/>
    <w:rsid w:val="00947713"/>
    <w:rsid w:val="00950DE7"/>
    <w:rsid w:val="00953899"/>
    <w:rsid w:val="00953920"/>
    <w:rsid w:val="00953D47"/>
    <w:rsid w:val="009548BB"/>
    <w:rsid w:val="00956756"/>
    <w:rsid w:val="0095681E"/>
    <w:rsid w:val="009572D4"/>
    <w:rsid w:val="0096000A"/>
    <w:rsid w:val="009606A6"/>
    <w:rsid w:val="00960F69"/>
    <w:rsid w:val="00961921"/>
    <w:rsid w:val="00961EE8"/>
    <w:rsid w:val="00962B19"/>
    <w:rsid w:val="00962CC4"/>
    <w:rsid w:val="0096430A"/>
    <w:rsid w:val="00964622"/>
    <w:rsid w:val="0096554B"/>
    <w:rsid w:val="0096584A"/>
    <w:rsid w:val="009664A0"/>
    <w:rsid w:val="00966773"/>
    <w:rsid w:val="0097065C"/>
    <w:rsid w:val="00970CE2"/>
    <w:rsid w:val="00971200"/>
    <w:rsid w:val="00971F08"/>
    <w:rsid w:val="00972E61"/>
    <w:rsid w:val="009739CC"/>
    <w:rsid w:val="009744D6"/>
    <w:rsid w:val="0097603D"/>
    <w:rsid w:val="00976949"/>
    <w:rsid w:val="00976C4A"/>
    <w:rsid w:val="00980477"/>
    <w:rsid w:val="00980E22"/>
    <w:rsid w:val="00981B76"/>
    <w:rsid w:val="009829D9"/>
    <w:rsid w:val="00983A5F"/>
    <w:rsid w:val="00985253"/>
    <w:rsid w:val="009853B3"/>
    <w:rsid w:val="00985614"/>
    <w:rsid w:val="0098635F"/>
    <w:rsid w:val="009879EF"/>
    <w:rsid w:val="00990630"/>
    <w:rsid w:val="00991761"/>
    <w:rsid w:val="00991D6A"/>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5422"/>
    <w:rsid w:val="009A582E"/>
    <w:rsid w:val="009A5CBA"/>
    <w:rsid w:val="009A6789"/>
    <w:rsid w:val="009A6E23"/>
    <w:rsid w:val="009B1F30"/>
    <w:rsid w:val="009B217C"/>
    <w:rsid w:val="009B39E4"/>
    <w:rsid w:val="009B3AC2"/>
    <w:rsid w:val="009B4255"/>
    <w:rsid w:val="009B4380"/>
    <w:rsid w:val="009B4DF4"/>
    <w:rsid w:val="009B564E"/>
    <w:rsid w:val="009B7E87"/>
    <w:rsid w:val="009C0169"/>
    <w:rsid w:val="009C2445"/>
    <w:rsid w:val="009C26F1"/>
    <w:rsid w:val="009C2D28"/>
    <w:rsid w:val="009C3269"/>
    <w:rsid w:val="009C403E"/>
    <w:rsid w:val="009C5425"/>
    <w:rsid w:val="009C5C1E"/>
    <w:rsid w:val="009C5D67"/>
    <w:rsid w:val="009C64AD"/>
    <w:rsid w:val="009C66BA"/>
    <w:rsid w:val="009C6A95"/>
    <w:rsid w:val="009C72D8"/>
    <w:rsid w:val="009D0AE3"/>
    <w:rsid w:val="009D18B0"/>
    <w:rsid w:val="009D1A4F"/>
    <w:rsid w:val="009D1E8E"/>
    <w:rsid w:val="009D25C5"/>
    <w:rsid w:val="009D2721"/>
    <w:rsid w:val="009D4FF0"/>
    <w:rsid w:val="009D6D44"/>
    <w:rsid w:val="009D703C"/>
    <w:rsid w:val="009D718F"/>
    <w:rsid w:val="009D7CF9"/>
    <w:rsid w:val="009E068F"/>
    <w:rsid w:val="009E14E0"/>
    <w:rsid w:val="009E1C4E"/>
    <w:rsid w:val="009E21F2"/>
    <w:rsid w:val="009E35DB"/>
    <w:rsid w:val="009E3C9A"/>
    <w:rsid w:val="009E44C7"/>
    <w:rsid w:val="009E47A3"/>
    <w:rsid w:val="009E609C"/>
    <w:rsid w:val="009E63A1"/>
    <w:rsid w:val="009F01F6"/>
    <w:rsid w:val="009F05BE"/>
    <w:rsid w:val="009F08F3"/>
    <w:rsid w:val="009F0A93"/>
    <w:rsid w:val="009F0E87"/>
    <w:rsid w:val="009F344F"/>
    <w:rsid w:val="009F399E"/>
    <w:rsid w:val="009F5494"/>
    <w:rsid w:val="009F5F37"/>
    <w:rsid w:val="009F7076"/>
    <w:rsid w:val="009F7975"/>
    <w:rsid w:val="00A00B24"/>
    <w:rsid w:val="00A031D8"/>
    <w:rsid w:val="00A048A8"/>
    <w:rsid w:val="00A04F49"/>
    <w:rsid w:val="00A05170"/>
    <w:rsid w:val="00A05558"/>
    <w:rsid w:val="00A05D98"/>
    <w:rsid w:val="00A07809"/>
    <w:rsid w:val="00A11B5D"/>
    <w:rsid w:val="00A122F4"/>
    <w:rsid w:val="00A13E54"/>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4A9"/>
    <w:rsid w:val="00A26DCF"/>
    <w:rsid w:val="00A27785"/>
    <w:rsid w:val="00A30187"/>
    <w:rsid w:val="00A30CC8"/>
    <w:rsid w:val="00A32CF5"/>
    <w:rsid w:val="00A336F7"/>
    <w:rsid w:val="00A33D08"/>
    <w:rsid w:val="00A3448A"/>
    <w:rsid w:val="00A34B22"/>
    <w:rsid w:val="00A34BFF"/>
    <w:rsid w:val="00A35173"/>
    <w:rsid w:val="00A35D85"/>
    <w:rsid w:val="00A36297"/>
    <w:rsid w:val="00A36DB7"/>
    <w:rsid w:val="00A3765C"/>
    <w:rsid w:val="00A37AA4"/>
    <w:rsid w:val="00A37BA1"/>
    <w:rsid w:val="00A40CA7"/>
    <w:rsid w:val="00A41E2B"/>
    <w:rsid w:val="00A41E85"/>
    <w:rsid w:val="00A425C4"/>
    <w:rsid w:val="00A4347B"/>
    <w:rsid w:val="00A4369A"/>
    <w:rsid w:val="00A44A75"/>
    <w:rsid w:val="00A45B74"/>
    <w:rsid w:val="00A46338"/>
    <w:rsid w:val="00A469E0"/>
    <w:rsid w:val="00A51441"/>
    <w:rsid w:val="00A51549"/>
    <w:rsid w:val="00A517AC"/>
    <w:rsid w:val="00A51A95"/>
    <w:rsid w:val="00A52E1D"/>
    <w:rsid w:val="00A54AED"/>
    <w:rsid w:val="00A55466"/>
    <w:rsid w:val="00A55755"/>
    <w:rsid w:val="00A5701C"/>
    <w:rsid w:val="00A5746D"/>
    <w:rsid w:val="00A61499"/>
    <w:rsid w:val="00A615D4"/>
    <w:rsid w:val="00A629B6"/>
    <w:rsid w:val="00A62A77"/>
    <w:rsid w:val="00A63064"/>
    <w:rsid w:val="00A63483"/>
    <w:rsid w:val="00A6468D"/>
    <w:rsid w:val="00A657D7"/>
    <w:rsid w:val="00A660AC"/>
    <w:rsid w:val="00A66812"/>
    <w:rsid w:val="00A67E6C"/>
    <w:rsid w:val="00A7051D"/>
    <w:rsid w:val="00A71B4D"/>
    <w:rsid w:val="00A71B99"/>
    <w:rsid w:val="00A72C56"/>
    <w:rsid w:val="00A72D7C"/>
    <w:rsid w:val="00A739D0"/>
    <w:rsid w:val="00A7447A"/>
    <w:rsid w:val="00A7520D"/>
    <w:rsid w:val="00A7589E"/>
    <w:rsid w:val="00A761D4"/>
    <w:rsid w:val="00A76D96"/>
    <w:rsid w:val="00A77E8E"/>
    <w:rsid w:val="00A77EC4"/>
    <w:rsid w:val="00A8144F"/>
    <w:rsid w:val="00A8237E"/>
    <w:rsid w:val="00A90A74"/>
    <w:rsid w:val="00A91019"/>
    <w:rsid w:val="00A916BB"/>
    <w:rsid w:val="00A92879"/>
    <w:rsid w:val="00A93666"/>
    <w:rsid w:val="00A9442A"/>
    <w:rsid w:val="00A94A08"/>
    <w:rsid w:val="00A97EB1"/>
    <w:rsid w:val="00AA014D"/>
    <w:rsid w:val="00AA016F"/>
    <w:rsid w:val="00AA18C6"/>
    <w:rsid w:val="00AA1ED6"/>
    <w:rsid w:val="00AA2C81"/>
    <w:rsid w:val="00AA2FB9"/>
    <w:rsid w:val="00AA3DB3"/>
    <w:rsid w:val="00AA4342"/>
    <w:rsid w:val="00AA51D6"/>
    <w:rsid w:val="00AA51EC"/>
    <w:rsid w:val="00AA7E67"/>
    <w:rsid w:val="00AB0BC8"/>
    <w:rsid w:val="00AB11CA"/>
    <w:rsid w:val="00AB14D9"/>
    <w:rsid w:val="00AB284A"/>
    <w:rsid w:val="00AB357A"/>
    <w:rsid w:val="00AB3AEB"/>
    <w:rsid w:val="00AB3D28"/>
    <w:rsid w:val="00AB4493"/>
    <w:rsid w:val="00AB4AB8"/>
    <w:rsid w:val="00AB5579"/>
    <w:rsid w:val="00AB61C6"/>
    <w:rsid w:val="00AB6407"/>
    <w:rsid w:val="00AB655E"/>
    <w:rsid w:val="00AC007F"/>
    <w:rsid w:val="00AC2ECD"/>
    <w:rsid w:val="00AC3119"/>
    <w:rsid w:val="00AC344C"/>
    <w:rsid w:val="00AC40CC"/>
    <w:rsid w:val="00AC49FB"/>
    <w:rsid w:val="00AC5A10"/>
    <w:rsid w:val="00AD07A9"/>
    <w:rsid w:val="00AD0AA3"/>
    <w:rsid w:val="00AD0F4B"/>
    <w:rsid w:val="00AD2ED0"/>
    <w:rsid w:val="00AD3F0E"/>
    <w:rsid w:val="00AD3F94"/>
    <w:rsid w:val="00AD47A5"/>
    <w:rsid w:val="00AD4A5A"/>
    <w:rsid w:val="00AD541B"/>
    <w:rsid w:val="00AD6E50"/>
    <w:rsid w:val="00AD70EC"/>
    <w:rsid w:val="00AD7140"/>
    <w:rsid w:val="00AD74A2"/>
    <w:rsid w:val="00AD756A"/>
    <w:rsid w:val="00AD75F9"/>
    <w:rsid w:val="00AE0829"/>
    <w:rsid w:val="00AE0C2B"/>
    <w:rsid w:val="00AE27AC"/>
    <w:rsid w:val="00AE3482"/>
    <w:rsid w:val="00AE40E0"/>
    <w:rsid w:val="00AE488E"/>
    <w:rsid w:val="00AE4DBA"/>
    <w:rsid w:val="00AE4F07"/>
    <w:rsid w:val="00AE54A8"/>
    <w:rsid w:val="00AE5606"/>
    <w:rsid w:val="00AF04C2"/>
    <w:rsid w:val="00AF15F9"/>
    <w:rsid w:val="00AF1C5D"/>
    <w:rsid w:val="00AF1CD8"/>
    <w:rsid w:val="00AF1F64"/>
    <w:rsid w:val="00AF23D8"/>
    <w:rsid w:val="00AF39C6"/>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B33"/>
    <w:rsid w:val="00B062D7"/>
    <w:rsid w:val="00B0760A"/>
    <w:rsid w:val="00B11189"/>
    <w:rsid w:val="00B13805"/>
    <w:rsid w:val="00B151F4"/>
    <w:rsid w:val="00B157F9"/>
    <w:rsid w:val="00B1627F"/>
    <w:rsid w:val="00B1635D"/>
    <w:rsid w:val="00B17D34"/>
    <w:rsid w:val="00B20256"/>
    <w:rsid w:val="00B20AC2"/>
    <w:rsid w:val="00B20D09"/>
    <w:rsid w:val="00B21676"/>
    <w:rsid w:val="00B2322A"/>
    <w:rsid w:val="00B267B7"/>
    <w:rsid w:val="00B267C3"/>
    <w:rsid w:val="00B26E4F"/>
    <w:rsid w:val="00B2763F"/>
    <w:rsid w:val="00B27AAC"/>
    <w:rsid w:val="00B30929"/>
    <w:rsid w:val="00B30C3F"/>
    <w:rsid w:val="00B31739"/>
    <w:rsid w:val="00B32EE4"/>
    <w:rsid w:val="00B34560"/>
    <w:rsid w:val="00B356B5"/>
    <w:rsid w:val="00B372AA"/>
    <w:rsid w:val="00B377F7"/>
    <w:rsid w:val="00B37A3F"/>
    <w:rsid w:val="00B37E6F"/>
    <w:rsid w:val="00B37FA1"/>
    <w:rsid w:val="00B40445"/>
    <w:rsid w:val="00B409E0"/>
    <w:rsid w:val="00B41400"/>
    <w:rsid w:val="00B4152F"/>
    <w:rsid w:val="00B4180B"/>
    <w:rsid w:val="00B41888"/>
    <w:rsid w:val="00B4202F"/>
    <w:rsid w:val="00B4212D"/>
    <w:rsid w:val="00B44087"/>
    <w:rsid w:val="00B446CC"/>
    <w:rsid w:val="00B45670"/>
    <w:rsid w:val="00B45A52"/>
    <w:rsid w:val="00B4615A"/>
    <w:rsid w:val="00B46175"/>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BD3"/>
    <w:rsid w:val="00B67CB4"/>
    <w:rsid w:val="00B70F6D"/>
    <w:rsid w:val="00B7120B"/>
    <w:rsid w:val="00B7224D"/>
    <w:rsid w:val="00B72535"/>
    <w:rsid w:val="00B736DE"/>
    <w:rsid w:val="00B739F6"/>
    <w:rsid w:val="00B749FC"/>
    <w:rsid w:val="00B74C53"/>
    <w:rsid w:val="00B818AA"/>
    <w:rsid w:val="00B81A6C"/>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56D2"/>
    <w:rsid w:val="00BA59A7"/>
    <w:rsid w:val="00BA750F"/>
    <w:rsid w:val="00BA76E0"/>
    <w:rsid w:val="00BB0257"/>
    <w:rsid w:val="00BB04DE"/>
    <w:rsid w:val="00BB22AA"/>
    <w:rsid w:val="00BB290F"/>
    <w:rsid w:val="00BB2A25"/>
    <w:rsid w:val="00BB4434"/>
    <w:rsid w:val="00BB51E9"/>
    <w:rsid w:val="00BB5F21"/>
    <w:rsid w:val="00BB6476"/>
    <w:rsid w:val="00BC0F37"/>
    <w:rsid w:val="00BC0FDC"/>
    <w:rsid w:val="00BC1790"/>
    <w:rsid w:val="00BC2EC1"/>
    <w:rsid w:val="00BC3053"/>
    <w:rsid w:val="00BC43FE"/>
    <w:rsid w:val="00BC4D2E"/>
    <w:rsid w:val="00BC5D2B"/>
    <w:rsid w:val="00BC60ED"/>
    <w:rsid w:val="00BC66AB"/>
    <w:rsid w:val="00BC7F23"/>
    <w:rsid w:val="00BD0008"/>
    <w:rsid w:val="00BD0909"/>
    <w:rsid w:val="00BD3BCA"/>
    <w:rsid w:val="00BD3DA0"/>
    <w:rsid w:val="00BD3E0F"/>
    <w:rsid w:val="00BD48AC"/>
    <w:rsid w:val="00BD4DF7"/>
    <w:rsid w:val="00BD4F96"/>
    <w:rsid w:val="00BD51FD"/>
    <w:rsid w:val="00BD5E2A"/>
    <w:rsid w:val="00BD5F1A"/>
    <w:rsid w:val="00BE1234"/>
    <w:rsid w:val="00BE1338"/>
    <w:rsid w:val="00BE1FAA"/>
    <w:rsid w:val="00BE20AA"/>
    <w:rsid w:val="00BE2FA6"/>
    <w:rsid w:val="00BE333F"/>
    <w:rsid w:val="00BE5352"/>
    <w:rsid w:val="00BE7406"/>
    <w:rsid w:val="00BE7603"/>
    <w:rsid w:val="00BF0544"/>
    <w:rsid w:val="00BF18BB"/>
    <w:rsid w:val="00BF3279"/>
    <w:rsid w:val="00BF3DF7"/>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7377"/>
    <w:rsid w:val="00C10478"/>
    <w:rsid w:val="00C11BDC"/>
    <w:rsid w:val="00C12107"/>
    <w:rsid w:val="00C137A9"/>
    <w:rsid w:val="00C138C7"/>
    <w:rsid w:val="00C14116"/>
    <w:rsid w:val="00C14D4B"/>
    <w:rsid w:val="00C154BB"/>
    <w:rsid w:val="00C170D0"/>
    <w:rsid w:val="00C1768E"/>
    <w:rsid w:val="00C2003C"/>
    <w:rsid w:val="00C23FA4"/>
    <w:rsid w:val="00C24E72"/>
    <w:rsid w:val="00C24EB1"/>
    <w:rsid w:val="00C25CF1"/>
    <w:rsid w:val="00C27096"/>
    <w:rsid w:val="00C279B5"/>
    <w:rsid w:val="00C279E8"/>
    <w:rsid w:val="00C27C45"/>
    <w:rsid w:val="00C27E46"/>
    <w:rsid w:val="00C27EA7"/>
    <w:rsid w:val="00C30C89"/>
    <w:rsid w:val="00C337DB"/>
    <w:rsid w:val="00C33900"/>
    <w:rsid w:val="00C33C45"/>
    <w:rsid w:val="00C3471B"/>
    <w:rsid w:val="00C34C17"/>
    <w:rsid w:val="00C3686F"/>
    <w:rsid w:val="00C36DE6"/>
    <w:rsid w:val="00C3719D"/>
    <w:rsid w:val="00C37CB2"/>
    <w:rsid w:val="00C4090A"/>
    <w:rsid w:val="00C40B00"/>
    <w:rsid w:val="00C41195"/>
    <w:rsid w:val="00C412B6"/>
    <w:rsid w:val="00C41F67"/>
    <w:rsid w:val="00C42FB5"/>
    <w:rsid w:val="00C4496B"/>
    <w:rsid w:val="00C4668A"/>
    <w:rsid w:val="00C473A5"/>
    <w:rsid w:val="00C4755B"/>
    <w:rsid w:val="00C47E33"/>
    <w:rsid w:val="00C5026B"/>
    <w:rsid w:val="00C50F94"/>
    <w:rsid w:val="00C51637"/>
    <w:rsid w:val="00C54527"/>
    <w:rsid w:val="00C54995"/>
    <w:rsid w:val="00C54D41"/>
    <w:rsid w:val="00C557E3"/>
    <w:rsid w:val="00C567F7"/>
    <w:rsid w:val="00C568BB"/>
    <w:rsid w:val="00C56E0A"/>
    <w:rsid w:val="00C57945"/>
    <w:rsid w:val="00C60783"/>
    <w:rsid w:val="00C60B31"/>
    <w:rsid w:val="00C62468"/>
    <w:rsid w:val="00C64672"/>
    <w:rsid w:val="00C70697"/>
    <w:rsid w:val="00C718EC"/>
    <w:rsid w:val="00C72093"/>
    <w:rsid w:val="00C72D93"/>
    <w:rsid w:val="00C72EF4"/>
    <w:rsid w:val="00C744FE"/>
    <w:rsid w:val="00C75137"/>
    <w:rsid w:val="00C75D2F"/>
    <w:rsid w:val="00C767BE"/>
    <w:rsid w:val="00C768C7"/>
    <w:rsid w:val="00C76E3C"/>
    <w:rsid w:val="00C7712C"/>
    <w:rsid w:val="00C812BF"/>
    <w:rsid w:val="00C81568"/>
    <w:rsid w:val="00C8271C"/>
    <w:rsid w:val="00C83D47"/>
    <w:rsid w:val="00C862A5"/>
    <w:rsid w:val="00C865E6"/>
    <w:rsid w:val="00C867E2"/>
    <w:rsid w:val="00C86EB2"/>
    <w:rsid w:val="00C87546"/>
    <w:rsid w:val="00C90076"/>
    <w:rsid w:val="00C9027A"/>
    <w:rsid w:val="00C9059E"/>
    <w:rsid w:val="00C9068E"/>
    <w:rsid w:val="00C92EEB"/>
    <w:rsid w:val="00C93814"/>
    <w:rsid w:val="00C93C4B"/>
    <w:rsid w:val="00C94029"/>
    <w:rsid w:val="00C941F7"/>
    <w:rsid w:val="00C942FB"/>
    <w:rsid w:val="00C944AB"/>
    <w:rsid w:val="00C95B40"/>
    <w:rsid w:val="00C95D2A"/>
    <w:rsid w:val="00CA1ED8"/>
    <w:rsid w:val="00CA5E71"/>
    <w:rsid w:val="00CB0EB6"/>
    <w:rsid w:val="00CB1A82"/>
    <w:rsid w:val="00CB1F63"/>
    <w:rsid w:val="00CB1FD5"/>
    <w:rsid w:val="00CB22ED"/>
    <w:rsid w:val="00CB2B6F"/>
    <w:rsid w:val="00CB31E3"/>
    <w:rsid w:val="00CB43F2"/>
    <w:rsid w:val="00CB51E7"/>
    <w:rsid w:val="00CB5A7A"/>
    <w:rsid w:val="00CB641A"/>
    <w:rsid w:val="00CB6473"/>
    <w:rsid w:val="00CB7170"/>
    <w:rsid w:val="00CC040E"/>
    <w:rsid w:val="00CC111F"/>
    <w:rsid w:val="00CC1F87"/>
    <w:rsid w:val="00CC2011"/>
    <w:rsid w:val="00CC237E"/>
    <w:rsid w:val="00CC2BCD"/>
    <w:rsid w:val="00CC3152"/>
    <w:rsid w:val="00CC3EA0"/>
    <w:rsid w:val="00CC4727"/>
    <w:rsid w:val="00CC4E17"/>
    <w:rsid w:val="00CC528F"/>
    <w:rsid w:val="00CC7B45"/>
    <w:rsid w:val="00CD1188"/>
    <w:rsid w:val="00CD2CF1"/>
    <w:rsid w:val="00CD2DED"/>
    <w:rsid w:val="00CD2ED1"/>
    <w:rsid w:val="00CD337B"/>
    <w:rsid w:val="00CD3D86"/>
    <w:rsid w:val="00CD42D1"/>
    <w:rsid w:val="00CD4A20"/>
    <w:rsid w:val="00CD5D5F"/>
    <w:rsid w:val="00CE0424"/>
    <w:rsid w:val="00CE1267"/>
    <w:rsid w:val="00CE1CAD"/>
    <w:rsid w:val="00CE3029"/>
    <w:rsid w:val="00CE3B3B"/>
    <w:rsid w:val="00CE42EA"/>
    <w:rsid w:val="00CE4528"/>
    <w:rsid w:val="00CE57DF"/>
    <w:rsid w:val="00CE5C82"/>
    <w:rsid w:val="00CE7561"/>
    <w:rsid w:val="00CE75AF"/>
    <w:rsid w:val="00CF1354"/>
    <w:rsid w:val="00CF2712"/>
    <w:rsid w:val="00CF3B1F"/>
    <w:rsid w:val="00CF3BF6"/>
    <w:rsid w:val="00CF53D1"/>
    <w:rsid w:val="00CF625B"/>
    <w:rsid w:val="00CF687E"/>
    <w:rsid w:val="00CF6E26"/>
    <w:rsid w:val="00CF7B13"/>
    <w:rsid w:val="00D00DE1"/>
    <w:rsid w:val="00D0349B"/>
    <w:rsid w:val="00D03B57"/>
    <w:rsid w:val="00D052BE"/>
    <w:rsid w:val="00D05943"/>
    <w:rsid w:val="00D074C8"/>
    <w:rsid w:val="00D07B85"/>
    <w:rsid w:val="00D10249"/>
    <w:rsid w:val="00D106F1"/>
    <w:rsid w:val="00D115C3"/>
    <w:rsid w:val="00D11897"/>
    <w:rsid w:val="00D12191"/>
    <w:rsid w:val="00D1232A"/>
    <w:rsid w:val="00D13135"/>
    <w:rsid w:val="00D13E4E"/>
    <w:rsid w:val="00D143E0"/>
    <w:rsid w:val="00D16F17"/>
    <w:rsid w:val="00D17DD6"/>
    <w:rsid w:val="00D2192B"/>
    <w:rsid w:val="00D22417"/>
    <w:rsid w:val="00D239A7"/>
    <w:rsid w:val="00D23A80"/>
    <w:rsid w:val="00D23F47"/>
    <w:rsid w:val="00D31AF0"/>
    <w:rsid w:val="00D31D35"/>
    <w:rsid w:val="00D3369E"/>
    <w:rsid w:val="00D36E71"/>
    <w:rsid w:val="00D37994"/>
    <w:rsid w:val="00D37D87"/>
    <w:rsid w:val="00D40B33"/>
    <w:rsid w:val="00D40F86"/>
    <w:rsid w:val="00D4103D"/>
    <w:rsid w:val="00D42E9C"/>
    <w:rsid w:val="00D4318F"/>
    <w:rsid w:val="00D433A6"/>
    <w:rsid w:val="00D438BF"/>
    <w:rsid w:val="00D440F8"/>
    <w:rsid w:val="00D44D2C"/>
    <w:rsid w:val="00D453ED"/>
    <w:rsid w:val="00D461E9"/>
    <w:rsid w:val="00D465B8"/>
    <w:rsid w:val="00D470E4"/>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52B5"/>
    <w:rsid w:val="00D658D1"/>
    <w:rsid w:val="00D65FEE"/>
    <w:rsid w:val="00D66155"/>
    <w:rsid w:val="00D708B0"/>
    <w:rsid w:val="00D7733C"/>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A7540"/>
    <w:rsid w:val="00DB0741"/>
    <w:rsid w:val="00DB0A9F"/>
    <w:rsid w:val="00DB168B"/>
    <w:rsid w:val="00DB1EB8"/>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53EF"/>
    <w:rsid w:val="00DC76D9"/>
    <w:rsid w:val="00DD06D7"/>
    <w:rsid w:val="00DD2644"/>
    <w:rsid w:val="00DD345E"/>
    <w:rsid w:val="00DD415A"/>
    <w:rsid w:val="00DD415D"/>
    <w:rsid w:val="00DD61AD"/>
    <w:rsid w:val="00DD6289"/>
    <w:rsid w:val="00DD7517"/>
    <w:rsid w:val="00DE41E4"/>
    <w:rsid w:val="00DE5608"/>
    <w:rsid w:val="00DE58D0"/>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4725"/>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33A"/>
    <w:rsid w:val="00E22923"/>
    <w:rsid w:val="00E2452C"/>
    <w:rsid w:val="00E2467A"/>
    <w:rsid w:val="00E24AB4"/>
    <w:rsid w:val="00E25BC1"/>
    <w:rsid w:val="00E30B5A"/>
    <w:rsid w:val="00E30CBE"/>
    <w:rsid w:val="00E3123D"/>
    <w:rsid w:val="00E31461"/>
    <w:rsid w:val="00E31D43"/>
    <w:rsid w:val="00E32608"/>
    <w:rsid w:val="00E32F57"/>
    <w:rsid w:val="00E33B71"/>
    <w:rsid w:val="00E34188"/>
    <w:rsid w:val="00E34B6E"/>
    <w:rsid w:val="00E353B7"/>
    <w:rsid w:val="00E35559"/>
    <w:rsid w:val="00E359DF"/>
    <w:rsid w:val="00E3723A"/>
    <w:rsid w:val="00E37860"/>
    <w:rsid w:val="00E40A18"/>
    <w:rsid w:val="00E40F19"/>
    <w:rsid w:val="00E41FDC"/>
    <w:rsid w:val="00E425CA"/>
    <w:rsid w:val="00E42862"/>
    <w:rsid w:val="00E43839"/>
    <w:rsid w:val="00E446F1"/>
    <w:rsid w:val="00E46886"/>
    <w:rsid w:val="00E47AEF"/>
    <w:rsid w:val="00E50A4C"/>
    <w:rsid w:val="00E50FBB"/>
    <w:rsid w:val="00E52BDC"/>
    <w:rsid w:val="00E53B75"/>
    <w:rsid w:val="00E54DFA"/>
    <w:rsid w:val="00E54E3B"/>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272E"/>
    <w:rsid w:val="00E72EFC"/>
    <w:rsid w:val="00E74D9F"/>
    <w:rsid w:val="00E7562D"/>
    <w:rsid w:val="00E758EC"/>
    <w:rsid w:val="00E77E38"/>
    <w:rsid w:val="00E811D3"/>
    <w:rsid w:val="00E8234C"/>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7339"/>
    <w:rsid w:val="00E97920"/>
    <w:rsid w:val="00E979E2"/>
    <w:rsid w:val="00E97D31"/>
    <w:rsid w:val="00EA0196"/>
    <w:rsid w:val="00EA3145"/>
    <w:rsid w:val="00EA3CBF"/>
    <w:rsid w:val="00EA479F"/>
    <w:rsid w:val="00EA5A64"/>
    <w:rsid w:val="00EA5D94"/>
    <w:rsid w:val="00EA71A2"/>
    <w:rsid w:val="00EA726D"/>
    <w:rsid w:val="00EA7A41"/>
    <w:rsid w:val="00EB0520"/>
    <w:rsid w:val="00EB077B"/>
    <w:rsid w:val="00EB1562"/>
    <w:rsid w:val="00EB4EA2"/>
    <w:rsid w:val="00EB5235"/>
    <w:rsid w:val="00EB565D"/>
    <w:rsid w:val="00EB5FE6"/>
    <w:rsid w:val="00EB7242"/>
    <w:rsid w:val="00EB74D5"/>
    <w:rsid w:val="00EC060F"/>
    <w:rsid w:val="00EC0CC9"/>
    <w:rsid w:val="00EC1C1F"/>
    <w:rsid w:val="00EC24D5"/>
    <w:rsid w:val="00EC27C6"/>
    <w:rsid w:val="00EC34A4"/>
    <w:rsid w:val="00EC4207"/>
    <w:rsid w:val="00EC55EB"/>
    <w:rsid w:val="00EC5653"/>
    <w:rsid w:val="00EC602E"/>
    <w:rsid w:val="00EC6A5F"/>
    <w:rsid w:val="00EC71CE"/>
    <w:rsid w:val="00EC7641"/>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5F60"/>
    <w:rsid w:val="00EE61A4"/>
    <w:rsid w:val="00EE6718"/>
    <w:rsid w:val="00EE6D7A"/>
    <w:rsid w:val="00EF062C"/>
    <w:rsid w:val="00EF0813"/>
    <w:rsid w:val="00EF0DFE"/>
    <w:rsid w:val="00EF18FE"/>
    <w:rsid w:val="00EF51ED"/>
    <w:rsid w:val="00EF5787"/>
    <w:rsid w:val="00EF5D5A"/>
    <w:rsid w:val="00EF60D0"/>
    <w:rsid w:val="00EF7D51"/>
    <w:rsid w:val="00F012FF"/>
    <w:rsid w:val="00F0528D"/>
    <w:rsid w:val="00F05588"/>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41D4"/>
    <w:rsid w:val="00F44CBD"/>
    <w:rsid w:val="00F4591E"/>
    <w:rsid w:val="00F4689C"/>
    <w:rsid w:val="00F46946"/>
    <w:rsid w:val="00F4766C"/>
    <w:rsid w:val="00F47CC1"/>
    <w:rsid w:val="00F5060E"/>
    <w:rsid w:val="00F50656"/>
    <w:rsid w:val="00F507D1"/>
    <w:rsid w:val="00F519CE"/>
    <w:rsid w:val="00F51ADA"/>
    <w:rsid w:val="00F52AFB"/>
    <w:rsid w:val="00F60203"/>
    <w:rsid w:val="00F607C5"/>
    <w:rsid w:val="00F60DEA"/>
    <w:rsid w:val="00F6302A"/>
    <w:rsid w:val="00F63950"/>
    <w:rsid w:val="00F649C6"/>
    <w:rsid w:val="00F64C13"/>
    <w:rsid w:val="00F64C2B"/>
    <w:rsid w:val="00F64FF9"/>
    <w:rsid w:val="00F651BE"/>
    <w:rsid w:val="00F659DA"/>
    <w:rsid w:val="00F66ACD"/>
    <w:rsid w:val="00F67174"/>
    <w:rsid w:val="00F6729B"/>
    <w:rsid w:val="00F67F53"/>
    <w:rsid w:val="00F703BE"/>
    <w:rsid w:val="00F71F69"/>
    <w:rsid w:val="00F724D6"/>
    <w:rsid w:val="00F728E9"/>
    <w:rsid w:val="00F72B72"/>
    <w:rsid w:val="00F72D2A"/>
    <w:rsid w:val="00F72D8A"/>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8F5"/>
    <w:rsid w:val="00F87B63"/>
    <w:rsid w:val="00F90202"/>
    <w:rsid w:val="00F9056A"/>
    <w:rsid w:val="00F90F8D"/>
    <w:rsid w:val="00F92782"/>
    <w:rsid w:val="00F929A2"/>
    <w:rsid w:val="00F93A8A"/>
    <w:rsid w:val="00F93AA9"/>
    <w:rsid w:val="00F93AE7"/>
    <w:rsid w:val="00F948BB"/>
    <w:rsid w:val="00F95316"/>
    <w:rsid w:val="00F960D4"/>
    <w:rsid w:val="00F96256"/>
    <w:rsid w:val="00F96985"/>
    <w:rsid w:val="00F97838"/>
    <w:rsid w:val="00FA1C24"/>
    <w:rsid w:val="00FA2BB3"/>
    <w:rsid w:val="00FA4912"/>
    <w:rsid w:val="00FA66BC"/>
    <w:rsid w:val="00FA6B8E"/>
    <w:rsid w:val="00FA6BD0"/>
    <w:rsid w:val="00FA6D1E"/>
    <w:rsid w:val="00FB01ED"/>
    <w:rsid w:val="00FB4418"/>
    <w:rsid w:val="00FB4C80"/>
    <w:rsid w:val="00FB5D96"/>
    <w:rsid w:val="00FB60BE"/>
    <w:rsid w:val="00FB6A6A"/>
    <w:rsid w:val="00FB78FB"/>
    <w:rsid w:val="00FC1A15"/>
    <w:rsid w:val="00FC2137"/>
    <w:rsid w:val="00FC61C4"/>
    <w:rsid w:val="00FC7046"/>
    <w:rsid w:val="00FC7429"/>
    <w:rsid w:val="00FD07F6"/>
    <w:rsid w:val="00FD1CBF"/>
    <w:rsid w:val="00FD1D87"/>
    <w:rsid w:val="00FD1EC8"/>
    <w:rsid w:val="00FD1EDC"/>
    <w:rsid w:val="00FD2D2D"/>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E7DF8"/>
    <w:rsid w:val="00FF16E9"/>
    <w:rsid w:val="00FF19E7"/>
    <w:rsid w:val="00FF1C06"/>
    <w:rsid w:val="00FF4147"/>
    <w:rsid w:val="00FF45A5"/>
    <w:rsid w:val="00FF55A6"/>
    <w:rsid w:val="00FF5C91"/>
    <w:rsid w:val="00FF716B"/>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5819B0A9-EAA1-4CEE-AE38-C282D19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C92"/>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77C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C9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F4F34CC7-0005-4642-97A3-E1587984F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103DA-C320-4753-AB7F-2A38FA3D3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1880</Words>
  <Characters>15237</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17083</CharactersWithSpaces>
  <SharedDoc>false</SharedDoc>
  <HLinks>
    <vt:vector size="36" baseType="variant">
      <vt:variant>
        <vt:i4>1835063</vt:i4>
      </vt:variant>
      <vt:variant>
        <vt:i4>32</vt:i4>
      </vt:variant>
      <vt:variant>
        <vt:i4>0</vt:i4>
      </vt:variant>
      <vt:variant>
        <vt:i4>5</vt:i4>
      </vt:variant>
      <vt:variant>
        <vt:lpwstr/>
      </vt:variant>
      <vt:variant>
        <vt:lpwstr>_Toc47630758</vt:lpwstr>
      </vt:variant>
      <vt:variant>
        <vt:i4>1245239</vt:i4>
      </vt:variant>
      <vt:variant>
        <vt:i4>29</vt:i4>
      </vt:variant>
      <vt:variant>
        <vt:i4>0</vt:i4>
      </vt:variant>
      <vt:variant>
        <vt:i4>5</vt:i4>
      </vt:variant>
      <vt:variant>
        <vt:lpwstr/>
      </vt:variant>
      <vt:variant>
        <vt:lpwstr>_Toc47630757</vt:lpwstr>
      </vt:variant>
      <vt:variant>
        <vt:i4>1179703</vt:i4>
      </vt:variant>
      <vt:variant>
        <vt:i4>26</vt:i4>
      </vt:variant>
      <vt:variant>
        <vt:i4>0</vt:i4>
      </vt:variant>
      <vt:variant>
        <vt:i4>5</vt:i4>
      </vt:variant>
      <vt:variant>
        <vt:lpwstr/>
      </vt:variant>
      <vt:variant>
        <vt:lpwstr>_Toc47630756</vt:lpwstr>
      </vt:variant>
      <vt:variant>
        <vt:i4>1572915</vt:i4>
      </vt:variant>
      <vt:variant>
        <vt:i4>20</vt:i4>
      </vt:variant>
      <vt:variant>
        <vt:i4>0</vt:i4>
      </vt:variant>
      <vt:variant>
        <vt:i4>5</vt:i4>
      </vt:variant>
      <vt:variant>
        <vt:lpwstr/>
      </vt:variant>
      <vt:variant>
        <vt:lpwstr>_Toc47627268</vt:lpwstr>
      </vt:variant>
      <vt:variant>
        <vt:i4>1507379</vt:i4>
      </vt:variant>
      <vt:variant>
        <vt:i4>17</vt:i4>
      </vt:variant>
      <vt:variant>
        <vt:i4>0</vt:i4>
      </vt:variant>
      <vt:variant>
        <vt:i4>5</vt:i4>
      </vt:variant>
      <vt:variant>
        <vt:lpwstr/>
      </vt:variant>
      <vt:variant>
        <vt:lpwstr>_Toc47627267</vt:lpwstr>
      </vt:variant>
      <vt:variant>
        <vt:i4>1441843</vt:i4>
      </vt:variant>
      <vt:variant>
        <vt:i4>14</vt:i4>
      </vt:variant>
      <vt:variant>
        <vt:i4>0</vt:i4>
      </vt:variant>
      <vt:variant>
        <vt:i4>5</vt:i4>
      </vt:variant>
      <vt:variant>
        <vt:lpwstr/>
      </vt:variant>
      <vt:variant>
        <vt:lpwstr>_Toc47627266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2008-01-31T07:09:00Z</cp:lastPrinted>
  <dcterms:created xsi:type="dcterms:W3CDTF">2020-10-23T06:03:00Z</dcterms:created>
  <dcterms:modified xsi:type="dcterms:W3CDTF">2020-10-23T06:03:00Z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